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8120" w:type="dxa"/>
        <w:jc w:val="right"/>
        <w:tblLayout w:type="autofit"/>
        <w:tblCellMar>
          <w:top w:w="0" w:type="dxa"/>
          <w:left w:w="108" w:type="dxa"/>
          <w:bottom w:w="0" w:type="dxa"/>
          <w:right w:w="108" w:type="dxa"/>
        </w:tblCellMar>
      </w:tblPr>
      <w:tblGrid>
        <w:gridCol w:w="9060"/>
        <w:gridCol w:w="9060"/>
      </w:tblGrid>
      <w:tr>
        <w:tblPrEx>
          <w:tblCellMar>
            <w:top w:w="0" w:type="dxa"/>
            <w:left w:w="108" w:type="dxa"/>
            <w:bottom w:w="0" w:type="dxa"/>
            <w:right w:w="108" w:type="dxa"/>
          </w:tblCellMar>
        </w:tblPrEx>
        <w:trPr>
          <w:trHeight w:val="3742" w:hRule="exact"/>
          <w:jc w:val="right"/>
        </w:trPr>
        <w:tc>
          <w:tcPr>
            <w:tcW w:w="9060" w:type="dxa"/>
            <w:vAlign w:val="center"/>
          </w:tcPr>
          <w:p>
            <w:pPr>
              <w:jc w:val="center"/>
              <w:rPr>
                <w:rFonts w:eastAsia="华文中宋"/>
                <w:b/>
                <w:bCs/>
                <w:color w:val="FFFFFF" w:themeColor="background1"/>
                <w:spacing w:val="-64"/>
                <w:w w:val="66"/>
                <w:kern w:val="0"/>
                <w:sz w:val="120"/>
                <w:szCs w:val="120"/>
                <w14:textFill>
                  <w14:solidFill>
                    <w14:schemeClr w14:val="bg1"/>
                  </w14:solidFill>
                </w14:textFill>
              </w:rPr>
            </w:pPr>
            <w:bookmarkStart w:id="2" w:name="_GoBack"/>
            <w:bookmarkEnd w:id="2"/>
          </w:p>
        </w:tc>
        <w:tc>
          <w:tcPr>
            <w:tcW w:w="9060" w:type="dxa"/>
            <w:vAlign w:val="center"/>
          </w:tcPr>
          <w:p>
            <w:pPr>
              <w:jc w:val="center"/>
              <w:rPr>
                <w:rFonts w:eastAsia="华文中宋"/>
                <w:b/>
                <w:bCs/>
                <w:color w:val="FFFFFF" w:themeColor="background1"/>
                <w:spacing w:val="-64"/>
                <w:w w:val="66"/>
                <w:kern w:val="0"/>
                <w:sz w:val="120"/>
                <w:szCs w:val="120"/>
                <w14:textFill>
                  <w14:solidFill>
                    <w14:schemeClr w14:val="bg1"/>
                  </w14:solidFill>
                </w14:textFill>
              </w:rPr>
            </w:pPr>
            <w:r>
              <w:rPr>
                <w:color w:val="FFFFFF" w:themeColor="background1"/>
                <w14:textFill>
                  <w14:solidFill>
                    <w14:schemeClr w14:val="bg1"/>
                  </w14:solidFill>
                </w14:textFill>
              </w:rPr>
              <w:drawing>
                <wp:anchor distT="0" distB="0" distL="114300" distR="114300" simplePos="0" relativeHeight="251659264" behindDoc="0" locked="1" layoutInCell="1" allowOverlap="1">
                  <wp:simplePos x="0" y="0"/>
                  <wp:positionH relativeFrom="column">
                    <wp:posOffset>89535</wp:posOffset>
                  </wp:positionH>
                  <wp:positionV relativeFrom="paragraph">
                    <wp:posOffset>272415</wp:posOffset>
                  </wp:positionV>
                  <wp:extent cx="5572760" cy="925195"/>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2800" cy="925200"/>
                          </a:xfrm>
                          <a:prstGeom prst="rect">
                            <a:avLst/>
                          </a:prstGeom>
                        </pic:spPr>
                      </pic:pic>
                    </a:graphicData>
                  </a:graphic>
                </wp:anchor>
              </w:drawing>
            </w:r>
            <w:r>
              <w:rPr>
                <w:rFonts w:hint="eastAsia" w:eastAsia="华文中宋"/>
                <w:b/>
                <w:bCs/>
                <w:color w:val="FFFFFF" w:themeColor="background1"/>
                <w:spacing w:val="-64"/>
                <w:w w:val="66"/>
                <w:kern w:val="0"/>
                <w:sz w:val="120"/>
                <w:szCs w:val="120"/>
                <w14:textFill>
                  <w14:solidFill>
                    <w14:schemeClr w14:val="bg1"/>
                  </w14:solidFill>
                </w14:textFill>
              </w:rPr>
              <w:t xml:space="preserve"> 中</w:t>
            </w:r>
          </w:p>
        </w:tc>
      </w:tr>
      <w:tr>
        <w:tblPrEx>
          <w:tblCellMar>
            <w:top w:w="0" w:type="dxa"/>
            <w:left w:w="108" w:type="dxa"/>
            <w:bottom w:w="0" w:type="dxa"/>
            <w:right w:w="108" w:type="dxa"/>
          </w:tblCellMar>
        </w:tblPrEx>
        <w:trPr>
          <w:trHeight w:val="882" w:hRule="exact"/>
          <w:jc w:val="right"/>
        </w:trPr>
        <w:tc>
          <w:tcPr>
            <w:tcW w:w="9060" w:type="dxa"/>
          </w:tcPr>
          <w:p>
            <w:pPr>
              <w:jc w:val="center"/>
              <w:rPr>
                <w:sz w:val="36"/>
              </w:rPr>
            </w:pPr>
            <w:r>
              <w:rPr>
                <w:rFonts w:hint="eastAsia"/>
              </w:rPr>
              <w:t>党委发〔</w:t>
            </w:r>
            <w:r>
              <w:t>20</w:t>
            </w:r>
            <w:r>
              <w:rPr>
                <w:rFonts w:hint="eastAsia"/>
              </w:rPr>
              <w:t>13〕7号</w:t>
            </w:r>
          </w:p>
          <w:p>
            <w:pPr>
              <w:spacing w:line="330" w:lineRule="exact"/>
              <w:jc w:val="center"/>
            </w:pPr>
          </w:p>
        </w:tc>
        <w:tc>
          <w:tcPr>
            <w:tcW w:w="9060" w:type="dxa"/>
          </w:tcPr>
          <w:p>
            <w:pPr>
              <w:jc w:val="center"/>
              <w:rPr>
                <w:sz w:val="36"/>
              </w:rPr>
            </w:pPr>
            <w:r>
              <w:drawing>
                <wp:anchor distT="0" distB="0" distL="114300" distR="114300" simplePos="0" relativeHeight="251662336" behindDoc="0" locked="0" layoutInCell="1" allowOverlap="1">
                  <wp:simplePos x="0" y="0"/>
                  <wp:positionH relativeFrom="column">
                    <wp:posOffset>2677795</wp:posOffset>
                  </wp:positionH>
                  <wp:positionV relativeFrom="paragraph">
                    <wp:posOffset>330200</wp:posOffset>
                  </wp:positionV>
                  <wp:extent cx="284480" cy="266700"/>
                  <wp:effectExtent l="0" t="0" r="190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anchor>
              </w:drawing>
            </w:r>
            <w:r>
              <w:rPr>
                <w:rFonts w:hint="eastAsia" w:ascii="仿宋" w:hAnsi="仿宋" w:eastAsia="仿宋"/>
              </w:rPr>
              <mc:AlternateContent>
                <mc:Choice Requires="wps">
                  <w:drawing>
                    <wp:anchor distT="0" distB="0" distL="114300" distR="114300" simplePos="0" relativeHeight="251661312" behindDoc="0" locked="1" layoutInCell="1" allowOverlap="1">
                      <wp:simplePos x="0" y="0"/>
                      <wp:positionH relativeFrom="column">
                        <wp:posOffset>2971800</wp:posOffset>
                      </wp:positionH>
                      <wp:positionV relativeFrom="paragraph">
                        <wp:posOffset>474980</wp:posOffset>
                      </wp:positionV>
                      <wp:extent cx="2628265" cy="0"/>
                      <wp:effectExtent l="0" t="0" r="20320" b="19050"/>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w:pict>
                    <v:line id="Line 5" o:spid="_x0000_s1026" o:spt="20" style="position:absolute;left:0pt;margin-left:234pt;margin-top:37.4pt;height:0pt;width:206.95pt;z-index:251661312;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FtVtcAAAAJAQAADwAAAAAAAAABACAAAAAiAAAAZHJzL2Rv&#10;d25yZXYueG1sUEsBAhQAFAAAAAgAh07iQIGHbjDJAQAAoAMAAA4AAAAAAAAAAQAgAAAAJgEAAGRy&#10;cy9lMm9Eb2MueG1sUEsFBgAAAAAGAAYAWQEAAGEFAAAAAA==&#10;">
                      <v:fill on="f" focussize="0,0"/>
                      <v:stroke weight="2pt" color="#FF0000" joinstyle="round"/>
                      <v:imagedata o:title=""/>
                      <o:lock v:ext="edit" aspectratio="f"/>
                      <w10:anchorlock/>
                    </v:line>
                  </w:pict>
                </mc:Fallback>
              </mc:AlternateContent>
            </w:r>
            <w:r>
              <w:rPr>
                <w:rFonts w:hint="eastAsia" w:ascii="仿宋" w:hAnsi="仿宋" w:eastAsia="仿宋"/>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474980</wp:posOffset>
                      </wp:positionV>
                      <wp:extent cx="2628265" cy="0"/>
                      <wp:effectExtent l="0" t="0" r="20320" b="190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w:pict>
                    <v:line id="Line 4" o:spid="_x0000_s1026" o:spt="20" style="position:absolute;left:0pt;margin-left:0pt;margin-top:37.4pt;height:0pt;width:206.95pt;z-index:251660288;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C0dINQAAAAGAQAADwAAAAAAAAABACAAAAAiAAAAZHJzL2Rvd25y&#10;ZXYueG1sUEsBAhQAFAAAAAgAh07iQBDG4e3JAQAAoAMAAA4AAAAAAAAAAQAgAAAAIwEAAGRycy9l&#10;Mm9Eb2MueG1sUEsFBgAAAAAGAAYAWQEAAF4FAAAAAA==&#10;">
                      <v:fill on="f" focussize="0,0"/>
                      <v:stroke weight="2pt" color="#FF0000" joinstyle="round"/>
                      <v:imagedata o:title=""/>
                      <o:lock v:ext="edit" aspectratio="f"/>
                      <w10:anchorlock/>
                    </v:line>
                  </w:pict>
                </mc:Fallback>
              </mc:AlternateContent>
            </w:r>
            <w:r>
              <w:rPr>
                <w:rFonts w:hint="eastAsia" w:ascii="仿宋" w:hAnsi="仿宋" w:eastAsia="仿宋"/>
              </w:rPr>
              <w:t>党委发</w:t>
            </w:r>
            <w:r>
              <w:rPr>
                <w:rFonts w:hint="eastAsia"/>
              </w:rPr>
              <w:t>〔</w:t>
            </w:r>
            <w:r>
              <w:t>20</w:t>
            </w:r>
            <w:r>
              <w:rPr>
                <w:rFonts w:hint="eastAsia"/>
              </w:rPr>
              <w:t>1</w:t>
            </w:r>
            <w:r>
              <w:t>8</w:t>
            </w:r>
            <w:r>
              <w:rPr>
                <w:rFonts w:hint="eastAsia"/>
              </w:rPr>
              <w:t>〕</w:t>
            </w:r>
            <w:r>
              <w:t>86</w:t>
            </w:r>
            <w:r>
              <w:rPr>
                <w:rFonts w:hint="eastAsia" w:ascii="仿宋" w:hAnsi="仿宋" w:eastAsia="仿宋"/>
              </w:rPr>
              <w:t>号</w:t>
            </w:r>
          </w:p>
          <w:p>
            <w:pPr>
              <w:spacing w:line="330" w:lineRule="exact"/>
            </w:pPr>
          </w:p>
        </w:tc>
      </w:tr>
    </w:tbl>
    <w:p>
      <w:pPr>
        <w:pStyle w:val="2"/>
        <w:spacing w:before="1080" w:after="760" w:line="240" w:lineRule="auto"/>
        <w:jc w:val="center"/>
        <w:rPr>
          <w:rFonts w:asciiTheme="minorEastAsia" w:hAnsiTheme="minorEastAsia" w:eastAsiaTheme="minorEastAsia"/>
          <w:lang w:eastAsia="zh-CN"/>
        </w:rPr>
      </w:pPr>
      <w:r>
        <w:rPr>
          <w:rFonts w:hint="eastAsia" w:ascii="宋体" w:hAnsi="宋体" w:eastAsia="宋体"/>
          <w:lang w:eastAsia="zh-CN"/>
        </w:rPr>
        <w:t>关于印发《南京</w:t>
      </w:r>
      <w:r>
        <w:rPr>
          <w:rFonts w:ascii="宋体" w:hAnsi="宋体" w:eastAsia="宋体"/>
          <w:lang w:eastAsia="zh-CN"/>
        </w:rPr>
        <w:t>邮电大学</w:t>
      </w:r>
      <w:r>
        <w:rPr>
          <w:rFonts w:hint="eastAsia" w:ascii="宋体" w:hAnsi="宋体" w:eastAsia="宋体"/>
          <w:lang w:eastAsia="zh-CN"/>
        </w:rPr>
        <w:t>教师</w:t>
      </w:r>
      <w:r>
        <w:rPr>
          <w:rFonts w:ascii="宋体" w:hAnsi="宋体" w:eastAsia="宋体"/>
          <w:lang w:eastAsia="zh-CN"/>
        </w:rPr>
        <w:t>政治理论学习制度（</w:t>
      </w:r>
      <w:r>
        <w:rPr>
          <w:rFonts w:hint="eastAsia" w:ascii="宋体" w:hAnsi="宋体" w:eastAsia="宋体"/>
          <w:lang w:eastAsia="zh-CN"/>
        </w:rPr>
        <w:t>试行</w:t>
      </w:r>
      <w:r>
        <w:rPr>
          <w:rFonts w:ascii="宋体" w:hAnsi="宋体" w:eastAsia="宋体"/>
          <w:lang w:eastAsia="zh-CN"/>
        </w:rPr>
        <w:t>）</w:t>
      </w:r>
      <w:r>
        <w:rPr>
          <w:rFonts w:hint="eastAsia" w:ascii="宋体" w:hAnsi="宋体" w:eastAsia="宋体"/>
          <w:lang w:eastAsia="zh-CN"/>
        </w:rPr>
        <w:t>》的</w:t>
      </w:r>
      <w:r>
        <w:rPr>
          <w:rFonts w:ascii="宋体" w:hAnsi="宋体" w:eastAsia="宋体"/>
          <w:lang w:eastAsia="zh-CN"/>
        </w:rPr>
        <w:t>通知</w:t>
      </w:r>
    </w:p>
    <w:p>
      <w:pPr>
        <w:spacing w:line="540" w:lineRule="exact"/>
        <w:rPr>
          <w:rFonts w:ascii="仿宋" w:hAnsi="仿宋" w:eastAsia="仿宋" w:cs="宋体"/>
          <w:kern w:val="0"/>
          <w:szCs w:val="32"/>
        </w:rPr>
      </w:pPr>
      <w:bookmarkStart w:id="0" w:name="_Toc217972013"/>
      <w:bookmarkStart w:id="1" w:name="_Toc227338861"/>
      <w:r>
        <w:rPr>
          <w:rFonts w:hint="eastAsia" w:ascii="仿宋" w:hAnsi="仿宋" w:eastAsia="仿宋" w:cs="宋体"/>
          <w:kern w:val="0"/>
          <w:szCs w:val="32"/>
        </w:rPr>
        <w:t>各基层党委、党总支、直属党支部，各二级单位，党政群各部门，校直属单位：</w:t>
      </w:r>
    </w:p>
    <w:bookmarkEnd w:id="0"/>
    <w:bookmarkEnd w:id="1"/>
    <w:p>
      <w:pPr>
        <w:spacing w:line="540" w:lineRule="exact"/>
        <w:ind w:firstLine="660"/>
        <w:rPr>
          <w:rFonts w:ascii="仿宋" w:hAnsi="仿宋" w:eastAsia="仿宋" w:cs="宋体"/>
          <w:snapToGrid w:val="0"/>
          <w:spacing w:val="4"/>
          <w:kern w:val="28"/>
          <w:szCs w:val="10"/>
        </w:rPr>
      </w:pPr>
      <w:r>
        <w:rPr>
          <w:rFonts w:hint="eastAsia" w:ascii="仿宋" w:hAnsi="仿宋" w:eastAsia="仿宋" w:cs="宋体"/>
          <w:snapToGrid w:val="0"/>
          <w:spacing w:val="4"/>
          <w:kern w:val="28"/>
          <w:szCs w:val="10"/>
        </w:rPr>
        <w:t>经党委常委会研究，现将《南京邮电大学教师政治理论学习制度（试行）》印发给你们，请遵照执行。</w:t>
      </w:r>
    </w:p>
    <w:p>
      <w:pPr>
        <w:spacing w:line="560" w:lineRule="exact"/>
        <w:ind w:firstLine="660"/>
        <w:rPr>
          <w:rFonts w:ascii="仿宋" w:hAnsi="仿宋" w:eastAsia="仿宋"/>
          <w:szCs w:val="32"/>
        </w:rPr>
      </w:pPr>
    </w:p>
    <w:p>
      <w:pPr>
        <w:spacing w:line="560" w:lineRule="exact"/>
        <w:ind w:firstLine="660"/>
        <w:rPr>
          <w:rFonts w:ascii="仿宋" w:hAnsi="仿宋" w:eastAsia="仿宋"/>
          <w:szCs w:val="32"/>
        </w:rPr>
      </w:pPr>
    </w:p>
    <w:p>
      <w:pPr>
        <w:spacing w:line="560" w:lineRule="exact"/>
        <w:ind w:left="5440" w:leftChars="1500" w:hanging="640" w:hangingChars="200"/>
        <w:jc w:val="left"/>
        <w:rPr>
          <w:rFonts w:cs="宋体"/>
          <w:snapToGrid w:val="0"/>
          <w:spacing w:val="4"/>
          <w:kern w:val="28"/>
          <w:szCs w:val="10"/>
        </w:rPr>
      </w:pPr>
      <w:r>
        <w:rPr>
          <w:rFonts w:hint="eastAsia" w:ascii="仿宋" w:hAnsi="仿宋" w:eastAsia="仿宋"/>
          <w:szCs w:val="32"/>
        </w:rPr>
        <w:t xml:space="preserve">                                 </w:t>
      </w:r>
      <w:r>
        <w:rPr>
          <w:rFonts w:eastAsia="仿宋"/>
          <w:szCs w:val="32"/>
        </w:rPr>
        <w:t>2018年</w:t>
      </w:r>
      <w:r>
        <w:rPr>
          <w:rFonts w:hint="eastAsia" w:eastAsia="仿宋"/>
          <w:szCs w:val="32"/>
        </w:rPr>
        <w:t>12</w:t>
      </w:r>
      <w:r>
        <w:rPr>
          <w:rFonts w:eastAsia="仿宋"/>
          <w:szCs w:val="32"/>
        </w:rPr>
        <w:t>月2</w:t>
      </w:r>
      <w:r>
        <w:rPr>
          <w:rFonts w:hint="eastAsia" w:eastAsia="仿宋"/>
          <w:szCs w:val="32"/>
        </w:rPr>
        <w:t>8</w:t>
      </w:r>
      <w:r>
        <w:rPr>
          <w:rFonts w:eastAsia="仿宋"/>
          <w:szCs w:val="32"/>
        </w:rPr>
        <w:t>日</w:t>
      </w:r>
    </w:p>
    <w:p>
      <w:pPr>
        <w:spacing w:line="560" w:lineRule="exact"/>
        <w:rPr>
          <w:rFonts w:cs="宋体"/>
          <w:snapToGrid w:val="0"/>
          <w:spacing w:val="4"/>
          <w:kern w:val="28"/>
          <w:szCs w:val="10"/>
        </w:rPr>
      </w:pPr>
    </w:p>
    <w:p>
      <w:pPr>
        <w:spacing w:before="289" w:beforeLines="50" w:after="289" w:afterLines="50" w:line="520" w:lineRule="exact"/>
        <w:jc w:val="center"/>
        <w:rPr>
          <w:rFonts w:asciiTheme="majorEastAsia" w:hAnsiTheme="majorEastAsia" w:eastAsiaTheme="majorEastAsia"/>
          <w:b/>
          <w:spacing w:val="-18"/>
          <w:sz w:val="44"/>
          <w:szCs w:val="44"/>
        </w:rPr>
      </w:pPr>
      <w:r>
        <w:rPr>
          <w:rFonts w:hint="eastAsia" w:asciiTheme="majorEastAsia" w:hAnsiTheme="majorEastAsia" w:eastAsiaTheme="majorEastAsia"/>
          <w:b/>
          <w:spacing w:val="-18"/>
          <w:sz w:val="44"/>
          <w:szCs w:val="44"/>
        </w:rPr>
        <w:t>南京邮电大学教师政治理论学习制度（试行）</w:t>
      </w:r>
    </w:p>
    <w:p>
      <w:pPr>
        <w:spacing w:before="289" w:beforeLines="50" w:line="520" w:lineRule="exact"/>
        <w:jc w:val="center"/>
        <w:rPr>
          <w:rFonts w:ascii="黑体" w:hAnsi="黑体" w:eastAsia="黑体"/>
          <w:spacing w:val="-4"/>
          <w:szCs w:val="32"/>
        </w:rPr>
      </w:pPr>
      <w:r>
        <w:rPr>
          <w:rFonts w:hint="eastAsia" w:ascii="黑体" w:hAnsi="黑体" w:eastAsia="黑体"/>
          <w:spacing w:val="-4"/>
          <w:szCs w:val="32"/>
        </w:rPr>
        <w:t>第一章  总  则</w:t>
      </w:r>
    </w:p>
    <w:p>
      <w:pPr>
        <w:spacing w:line="540" w:lineRule="exact"/>
        <w:ind w:firstLine="627" w:firstLineChars="200"/>
        <w:rPr>
          <w:rFonts w:ascii="仿宋" w:hAnsi="仿宋" w:eastAsia="仿宋"/>
          <w:spacing w:val="-4"/>
          <w:szCs w:val="32"/>
        </w:rPr>
      </w:pPr>
      <w:r>
        <w:rPr>
          <w:rFonts w:hint="eastAsia" w:ascii="仿宋" w:hAnsi="仿宋" w:eastAsia="仿宋"/>
          <w:b/>
          <w:spacing w:val="-4"/>
          <w:szCs w:val="32"/>
        </w:rPr>
        <w:t>第一条</w:t>
      </w:r>
      <w:r>
        <w:rPr>
          <w:rFonts w:hint="eastAsia" w:ascii="仿宋" w:hAnsi="仿宋" w:eastAsia="仿宋"/>
          <w:spacing w:val="-4"/>
          <w:szCs w:val="32"/>
        </w:rPr>
        <w:t xml:space="preserve"> </w:t>
      </w:r>
      <w:r>
        <w:rPr>
          <w:rFonts w:ascii="仿宋" w:hAnsi="仿宋" w:eastAsia="仿宋"/>
          <w:spacing w:val="-4"/>
          <w:szCs w:val="32"/>
        </w:rPr>
        <w:t xml:space="preserve"> </w:t>
      </w:r>
      <w:r>
        <w:rPr>
          <w:rFonts w:hint="eastAsia" w:ascii="仿宋" w:hAnsi="仿宋" w:eastAsia="仿宋"/>
          <w:spacing w:val="-4"/>
          <w:szCs w:val="32"/>
        </w:rPr>
        <w:t>为深入贯彻落实《关于加强和改进新形势下高校思想政治工作的意见》和《关于全面深化新时代教师队伍建设改革的意见》文件精神，增强教师开展政治理论学习的主动性、积极性，推进学校教师政治理论学习制度化、规范化，提升教师思想政治理论水平，强化教师师德师风教育，开创学校思想政治工作新局面，结合学校实际，特制定本学习制度。</w:t>
      </w:r>
    </w:p>
    <w:p>
      <w:pPr>
        <w:spacing w:line="540" w:lineRule="exact"/>
        <w:ind w:firstLine="627" w:firstLineChars="200"/>
        <w:rPr>
          <w:rFonts w:ascii="仿宋" w:hAnsi="仿宋" w:eastAsia="仿宋"/>
          <w:spacing w:val="-4"/>
          <w:szCs w:val="32"/>
        </w:rPr>
      </w:pPr>
      <w:r>
        <w:rPr>
          <w:rFonts w:hint="eastAsia" w:ascii="仿宋" w:hAnsi="仿宋" w:eastAsia="仿宋"/>
          <w:b/>
          <w:spacing w:val="-4"/>
          <w:szCs w:val="32"/>
        </w:rPr>
        <w:t>第二条</w:t>
      </w:r>
      <w:r>
        <w:rPr>
          <w:rFonts w:ascii="仿宋" w:hAnsi="仿宋" w:eastAsia="仿宋"/>
          <w:b/>
          <w:spacing w:val="-4"/>
          <w:szCs w:val="32"/>
        </w:rPr>
        <w:t xml:space="preserve">  </w:t>
      </w:r>
      <w:r>
        <w:rPr>
          <w:rFonts w:hint="eastAsia" w:ascii="仿宋" w:hAnsi="仿宋" w:eastAsia="仿宋"/>
          <w:spacing w:val="-4"/>
          <w:szCs w:val="32"/>
        </w:rPr>
        <w:t>本学习制度适用于学校全体教师。</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 xml:space="preserve">第二章  学习目的 </w:t>
      </w:r>
    </w:p>
    <w:p>
      <w:pPr>
        <w:spacing w:line="540" w:lineRule="exact"/>
        <w:ind w:firstLine="627" w:firstLineChars="200"/>
        <w:jc w:val="left"/>
        <w:rPr>
          <w:rFonts w:ascii="仿宋" w:hAnsi="仿宋" w:eastAsia="仿宋"/>
          <w:spacing w:val="-4"/>
          <w:szCs w:val="32"/>
        </w:rPr>
      </w:pPr>
      <w:r>
        <w:rPr>
          <w:rFonts w:hint="eastAsia" w:ascii="仿宋" w:hAnsi="仿宋" w:eastAsia="仿宋"/>
          <w:b/>
          <w:spacing w:val="-4"/>
          <w:szCs w:val="32"/>
        </w:rPr>
        <w:t xml:space="preserve">第三条 </w:t>
      </w:r>
      <w:r>
        <w:rPr>
          <w:rFonts w:ascii="仿宋" w:hAnsi="仿宋" w:eastAsia="仿宋"/>
          <w:b/>
          <w:spacing w:val="-4"/>
          <w:szCs w:val="32"/>
        </w:rPr>
        <w:t xml:space="preserve"> </w:t>
      </w:r>
      <w:r>
        <w:rPr>
          <w:rFonts w:hint="eastAsia" w:ascii="仿宋" w:hAnsi="仿宋" w:eastAsia="仿宋"/>
          <w:spacing w:val="-4"/>
          <w:szCs w:val="32"/>
        </w:rPr>
        <w:t>通过学习，不断巩固马克思主义的指导地位，</w:t>
      </w:r>
      <w:r>
        <w:rPr>
          <w:rFonts w:ascii="仿宋" w:hAnsi="仿宋" w:eastAsia="仿宋"/>
          <w:bCs/>
          <w:spacing w:val="-4"/>
          <w:szCs w:val="32"/>
        </w:rPr>
        <w:t>全面贯彻党的教育方针，坚持中国特色社会主义教育发展道路，坚持社会主义办学方向，</w:t>
      </w:r>
      <w:r>
        <w:rPr>
          <w:rFonts w:hint="eastAsia" w:ascii="仿宋" w:hAnsi="仿宋" w:eastAsia="仿宋"/>
          <w:spacing w:val="-4"/>
          <w:szCs w:val="32"/>
        </w:rPr>
        <w:t xml:space="preserve">用习近平新时代中国特色社会主义思想武装头脑，提高教师运用马克思主义立场、观点、方法分析解决问题的能力。 </w:t>
      </w:r>
    </w:p>
    <w:p>
      <w:pPr>
        <w:spacing w:line="540" w:lineRule="exact"/>
        <w:ind w:firstLine="627" w:firstLineChars="200"/>
        <w:jc w:val="left"/>
        <w:rPr>
          <w:rFonts w:ascii="仿宋" w:hAnsi="仿宋" w:eastAsia="仿宋"/>
          <w:bCs/>
          <w:spacing w:val="-4"/>
          <w:szCs w:val="32"/>
        </w:rPr>
      </w:pPr>
      <w:r>
        <w:rPr>
          <w:rFonts w:hint="eastAsia" w:ascii="仿宋" w:hAnsi="仿宋" w:eastAsia="仿宋"/>
          <w:b/>
          <w:spacing w:val="-4"/>
          <w:szCs w:val="32"/>
        </w:rPr>
        <w:t>第四条</w:t>
      </w:r>
      <w:r>
        <w:rPr>
          <w:rFonts w:hint="eastAsia" w:ascii="仿宋" w:hAnsi="仿宋" w:eastAsia="仿宋"/>
          <w:spacing w:val="-4"/>
          <w:szCs w:val="32"/>
        </w:rPr>
        <w:t xml:space="preserve"> </w:t>
      </w:r>
      <w:r>
        <w:rPr>
          <w:rFonts w:ascii="仿宋" w:hAnsi="仿宋" w:eastAsia="仿宋"/>
          <w:spacing w:val="-4"/>
          <w:szCs w:val="32"/>
        </w:rPr>
        <w:t xml:space="preserve"> </w:t>
      </w:r>
      <w:r>
        <w:rPr>
          <w:rFonts w:hint="eastAsia" w:ascii="仿宋" w:hAnsi="仿宋" w:eastAsia="仿宋"/>
          <w:spacing w:val="-4"/>
          <w:szCs w:val="32"/>
        </w:rPr>
        <w:t>通过学习，提高教师的思想政治素质，不断增强教师的政治意识、大局意识、核心意识、看齐意识，坚定中国特色社会主义道路自信、理论自信、制度自信、文化自信，增强立德树人、为人师表的意识，</w:t>
      </w:r>
      <w:r>
        <w:rPr>
          <w:rFonts w:hint="eastAsia" w:ascii="仿宋" w:hAnsi="仿宋" w:eastAsia="仿宋"/>
          <w:bCs/>
          <w:spacing w:val="-4"/>
          <w:szCs w:val="32"/>
        </w:rPr>
        <w:t>引导教师积极主动承担起</w:t>
      </w:r>
      <w:r>
        <w:rPr>
          <w:rFonts w:ascii="仿宋" w:hAnsi="仿宋" w:eastAsia="仿宋"/>
          <w:bCs/>
          <w:spacing w:val="-4"/>
          <w:szCs w:val="32"/>
        </w:rPr>
        <w:t>培养德智体美</w:t>
      </w:r>
      <w:r>
        <w:rPr>
          <w:rFonts w:hint="eastAsia" w:ascii="仿宋" w:hAnsi="仿宋" w:eastAsia="仿宋"/>
          <w:bCs/>
          <w:spacing w:val="-4"/>
          <w:szCs w:val="32"/>
        </w:rPr>
        <w:t>劳</w:t>
      </w:r>
      <w:r>
        <w:rPr>
          <w:rFonts w:ascii="仿宋" w:hAnsi="仿宋" w:eastAsia="仿宋"/>
          <w:bCs/>
          <w:spacing w:val="-4"/>
          <w:szCs w:val="32"/>
        </w:rPr>
        <w:t>全面发展的社会主义建设者和接班人</w:t>
      </w:r>
      <w:r>
        <w:rPr>
          <w:rFonts w:hint="eastAsia" w:ascii="仿宋" w:hAnsi="仿宋" w:eastAsia="仿宋"/>
          <w:bCs/>
          <w:spacing w:val="-4"/>
          <w:szCs w:val="32"/>
        </w:rPr>
        <w:t>的历史使命，</w:t>
      </w:r>
      <w:r>
        <w:rPr>
          <w:rFonts w:ascii="仿宋" w:hAnsi="仿宋" w:eastAsia="仿宋"/>
          <w:bCs/>
          <w:spacing w:val="-4"/>
          <w:szCs w:val="32"/>
        </w:rPr>
        <w:t>培养造就一支有理想信念、有道德情操、有扎实学识、有仁爱之心的教师队伍。</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第五条</w:t>
      </w:r>
      <w:r>
        <w:rPr>
          <w:rFonts w:hint="eastAsia" w:ascii="仿宋" w:hAnsi="仿宋" w:eastAsia="仿宋"/>
          <w:bCs/>
          <w:spacing w:val="-4"/>
          <w:szCs w:val="32"/>
        </w:rPr>
        <w:t xml:space="preserve">  通过学习，掌握高等教育发展的规律和新形势、新要求，了解和掌握学校重大决策和工作部署，将思想和行动统一到学校改革发展的目标上，</w:t>
      </w:r>
      <w:r>
        <w:rPr>
          <w:rFonts w:ascii="仿宋" w:hAnsi="仿宋" w:eastAsia="仿宋"/>
          <w:bCs/>
          <w:spacing w:val="-4"/>
          <w:szCs w:val="32"/>
        </w:rPr>
        <w:t>把理论学习成果转化为推动学校改革发展的精神动力和思路举措</w:t>
      </w:r>
      <w:r>
        <w:rPr>
          <w:rFonts w:hint="eastAsia" w:ascii="仿宋" w:hAnsi="仿宋" w:eastAsia="仿宋"/>
          <w:bCs/>
          <w:spacing w:val="-4"/>
          <w:szCs w:val="32"/>
        </w:rPr>
        <w:t>，为</w:t>
      </w:r>
      <w:r>
        <w:rPr>
          <w:rFonts w:ascii="仿宋" w:hAnsi="仿宋" w:eastAsia="仿宋"/>
          <w:bCs/>
          <w:spacing w:val="-4"/>
          <w:szCs w:val="32"/>
        </w:rPr>
        <w:t>学校建设</w:t>
      </w:r>
      <w:r>
        <w:rPr>
          <w:rFonts w:hint="eastAsia" w:ascii="仿宋" w:hAnsi="仿宋" w:eastAsia="仿宋"/>
          <w:bCs/>
          <w:spacing w:val="-4"/>
          <w:szCs w:val="32"/>
        </w:rPr>
        <w:t>“双一流”和</w:t>
      </w:r>
      <w:r>
        <w:rPr>
          <w:rFonts w:ascii="仿宋" w:hAnsi="仿宋" w:eastAsia="仿宋"/>
          <w:bCs/>
          <w:spacing w:val="-4"/>
          <w:szCs w:val="32"/>
        </w:rPr>
        <w:t>高水平大学</w:t>
      </w:r>
      <w:r>
        <w:rPr>
          <w:rFonts w:hint="eastAsia" w:ascii="仿宋" w:hAnsi="仿宋" w:eastAsia="仿宋"/>
          <w:bCs/>
          <w:spacing w:val="-4"/>
          <w:szCs w:val="32"/>
        </w:rPr>
        <w:t>贡献力量。</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第三章  学习内容</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第六条</w:t>
      </w:r>
      <w:r>
        <w:rPr>
          <w:rFonts w:hint="eastAsia" w:ascii="仿宋" w:hAnsi="仿宋" w:eastAsia="仿宋"/>
          <w:bCs/>
          <w:spacing w:val="-4"/>
          <w:szCs w:val="32"/>
        </w:rPr>
        <w:t xml:space="preserve">  马克思列宁主义、毛泽东思想、邓小平理论、“三个代表”重要思想、科学发展观、习近平新时代中国特色社会主义思想。</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 xml:space="preserve">第七条 </w:t>
      </w:r>
      <w:r>
        <w:rPr>
          <w:rFonts w:ascii="仿宋" w:hAnsi="仿宋" w:eastAsia="仿宋"/>
          <w:b/>
          <w:bCs/>
          <w:spacing w:val="-4"/>
          <w:szCs w:val="32"/>
        </w:rPr>
        <w:t xml:space="preserve"> </w:t>
      </w:r>
      <w:r>
        <w:rPr>
          <w:rFonts w:hint="eastAsia" w:ascii="仿宋" w:hAnsi="仿宋" w:eastAsia="仿宋"/>
          <w:bCs/>
          <w:spacing w:val="-4"/>
          <w:szCs w:val="32"/>
        </w:rPr>
        <w:t>党章党规党纪和党的基本知识。</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第八条</w:t>
      </w:r>
      <w:r>
        <w:rPr>
          <w:rFonts w:hint="eastAsia" w:ascii="仿宋" w:hAnsi="仿宋" w:eastAsia="仿宋"/>
          <w:bCs/>
          <w:spacing w:val="-4"/>
          <w:szCs w:val="32"/>
        </w:rPr>
        <w:t xml:space="preserve">  党的路线、方针、政策和决议。</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第九条</w:t>
      </w:r>
      <w:r>
        <w:rPr>
          <w:rFonts w:hint="eastAsia" w:ascii="仿宋" w:hAnsi="仿宋" w:eastAsia="仿宋"/>
          <w:bCs/>
          <w:spacing w:val="-4"/>
          <w:szCs w:val="32"/>
        </w:rPr>
        <w:t xml:space="preserve">  国家法律法规。</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第十条</w:t>
      </w:r>
      <w:r>
        <w:rPr>
          <w:rFonts w:hint="eastAsia" w:ascii="仿宋" w:hAnsi="仿宋" w:eastAsia="仿宋"/>
          <w:bCs/>
          <w:spacing w:val="-4"/>
          <w:szCs w:val="32"/>
        </w:rPr>
        <w:t xml:space="preserve">  社会主义核心价值观。</w:t>
      </w:r>
    </w:p>
    <w:p>
      <w:pPr>
        <w:spacing w:line="540" w:lineRule="exact"/>
        <w:jc w:val="left"/>
        <w:rPr>
          <w:rFonts w:ascii="仿宋" w:hAnsi="仿宋" w:eastAsia="仿宋"/>
          <w:bCs/>
          <w:spacing w:val="-4"/>
          <w:szCs w:val="32"/>
        </w:rPr>
      </w:pPr>
      <w:r>
        <w:rPr>
          <w:rFonts w:hint="eastAsia" w:ascii="仿宋" w:hAnsi="仿宋" w:eastAsia="仿宋"/>
          <w:bCs/>
          <w:spacing w:val="-4"/>
          <w:szCs w:val="32"/>
        </w:rPr>
        <w:t xml:space="preserve">   </w:t>
      </w:r>
      <w:r>
        <w:rPr>
          <w:rFonts w:hint="eastAsia" w:ascii="仿宋" w:hAnsi="仿宋" w:eastAsia="仿宋"/>
          <w:b/>
          <w:bCs/>
          <w:spacing w:val="-4"/>
          <w:szCs w:val="32"/>
        </w:rPr>
        <w:t xml:space="preserve"> 第十一条</w:t>
      </w:r>
      <w:r>
        <w:rPr>
          <w:rFonts w:hint="eastAsia" w:ascii="仿宋" w:hAnsi="仿宋" w:eastAsia="仿宋"/>
          <w:bCs/>
          <w:spacing w:val="-4"/>
          <w:szCs w:val="32"/>
        </w:rPr>
        <w:t xml:space="preserve">  教师职业道德规范和师德师风建设的相关规定。</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第十二条</w:t>
      </w:r>
      <w:r>
        <w:rPr>
          <w:rFonts w:hint="eastAsia" w:ascii="仿宋" w:hAnsi="仿宋" w:eastAsia="仿宋"/>
          <w:bCs/>
          <w:spacing w:val="-4"/>
          <w:szCs w:val="32"/>
        </w:rPr>
        <w:t xml:space="preserve">  高等教育及相关领域知识和理论。</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第十三条</w:t>
      </w:r>
      <w:r>
        <w:rPr>
          <w:rFonts w:hint="eastAsia" w:ascii="仿宋" w:hAnsi="仿宋" w:eastAsia="仿宋"/>
          <w:bCs/>
          <w:spacing w:val="-4"/>
          <w:szCs w:val="32"/>
        </w:rPr>
        <w:t xml:space="preserve">  学校重大决策、重要会议、重要文件精神以及规章制度。</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第十四条</w:t>
      </w:r>
      <w:r>
        <w:rPr>
          <w:rFonts w:hint="eastAsia" w:ascii="仿宋" w:hAnsi="仿宋" w:eastAsia="仿宋"/>
          <w:bCs/>
          <w:spacing w:val="-4"/>
          <w:szCs w:val="32"/>
        </w:rPr>
        <w:t xml:space="preserve">  学校党委要求学习的其他重要内容。</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第四章  学习时间</w:t>
      </w:r>
    </w:p>
    <w:p>
      <w:pPr>
        <w:spacing w:line="540" w:lineRule="exact"/>
        <w:ind w:firstLine="627" w:firstLineChars="200"/>
        <w:jc w:val="left"/>
        <w:rPr>
          <w:rFonts w:ascii="仿宋" w:hAnsi="仿宋" w:eastAsia="仿宋"/>
          <w:b/>
          <w:bCs/>
          <w:spacing w:val="-4"/>
          <w:szCs w:val="32"/>
        </w:rPr>
      </w:pPr>
      <w:r>
        <w:rPr>
          <w:rFonts w:hint="eastAsia" w:ascii="仿宋" w:hAnsi="仿宋" w:eastAsia="仿宋"/>
          <w:b/>
          <w:bCs/>
          <w:spacing w:val="-4"/>
          <w:szCs w:val="32"/>
        </w:rPr>
        <w:t>第十五条</w:t>
      </w:r>
      <w:r>
        <w:rPr>
          <w:rFonts w:hint="eastAsia" w:ascii="仿宋" w:hAnsi="仿宋" w:eastAsia="仿宋"/>
          <w:bCs/>
          <w:spacing w:val="-4"/>
          <w:szCs w:val="32"/>
        </w:rPr>
        <w:t xml:space="preserve">  教师政治理论学习原则上每月安排1次学习活动，每次学习时间不少</w:t>
      </w:r>
      <w:r>
        <w:rPr>
          <w:rFonts w:eastAsia="仿宋"/>
          <w:bCs/>
          <w:spacing w:val="-4"/>
          <w:szCs w:val="32"/>
        </w:rPr>
        <w:t>于2</w:t>
      </w:r>
      <w:r>
        <w:rPr>
          <w:rFonts w:hint="eastAsia" w:ascii="仿宋" w:hAnsi="仿宋" w:eastAsia="仿宋"/>
          <w:bCs/>
          <w:spacing w:val="-4"/>
          <w:szCs w:val="32"/>
        </w:rPr>
        <w:t>个学时(寒、暑假除外)，每年学习次数不少于</w:t>
      </w:r>
      <w:r>
        <w:rPr>
          <w:rFonts w:hint="eastAsia" w:eastAsia="仿宋"/>
          <w:bCs/>
          <w:spacing w:val="-4"/>
          <w:szCs w:val="32"/>
        </w:rPr>
        <w:t>8次</w:t>
      </w:r>
      <w:r>
        <w:rPr>
          <w:rFonts w:hint="eastAsia" w:ascii="仿宋" w:hAnsi="仿宋" w:eastAsia="仿宋"/>
          <w:bCs/>
          <w:spacing w:val="-4"/>
          <w:szCs w:val="32"/>
        </w:rPr>
        <w:t>。基层党委（党总支、直属</w:t>
      </w:r>
      <w:r>
        <w:rPr>
          <w:rFonts w:ascii="仿宋" w:hAnsi="仿宋" w:eastAsia="仿宋"/>
          <w:bCs/>
          <w:spacing w:val="-4"/>
          <w:szCs w:val="32"/>
        </w:rPr>
        <w:t>党支部</w:t>
      </w:r>
      <w:r>
        <w:rPr>
          <w:rFonts w:hint="eastAsia" w:ascii="仿宋" w:hAnsi="仿宋" w:eastAsia="仿宋"/>
          <w:bCs/>
          <w:spacing w:val="-4"/>
          <w:szCs w:val="32"/>
        </w:rPr>
        <w:t>）可根据本单位实际情况统筹安排确定时间，但是必须保证学习时间和质量。</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第五章  学习形式</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第十六条</w:t>
      </w:r>
      <w:r>
        <w:rPr>
          <w:rFonts w:ascii="仿宋" w:hAnsi="仿宋" w:eastAsia="仿宋"/>
          <w:bCs/>
          <w:spacing w:val="-4"/>
          <w:szCs w:val="32"/>
        </w:rPr>
        <w:t xml:space="preserve">  </w:t>
      </w:r>
      <w:r>
        <w:rPr>
          <w:rFonts w:hint="eastAsia" w:ascii="仿宋" w:hAnsi="仿宋" w:eastAsia="仿宋"/>
          <w:bCs/>
          <w:spacing w:val="-4"/>
          <w:szCs w:val="32"/>
        </w:rPr>
        <w:t>学习以集中学习与自主学习相结合的形式开展。基层党委（党总支、直属</w:t>
      </w:r>
      <w:r>
        <w:rPr>
          <w:rFonts w:ascii="仿宋" w:hAnsi="仿宋" w:eastAsia="仿宋"/>
          <w:bCs/>
          <w:spacing w:val="-4"/>
          <w:szCs w:val="32"/>
        </w:rPr>
        <w:t>党支部</w:t>
      </w:r>
      <w:r>
        <w:rPr>
          <w:rFonts w:hint="eastAsia" w:ascii="仿宋" w:hAnsi="仿宋" w:eastAsia="仿宋"/>
          <w:bCs/>
          <w:spacing w:val="-4"/>
          <w:szCs w:val="32"/>
        </w:rPr>
        <w:t>）要积极引导教师党支部充分发挥战斗堡垒作用，促进党员教师充分发挥先锋模范作用，不断创新学习方法，改进学习形式，综合采用学习原著、辅导讲座、专题报告、专题讨论、学习交流、调研考察、观看录像、知识竞赛等多种方式组织教师开展生动多样、富有特色的学习活动。集中学习可以以各基层党委（党总支、直属</w:t>
      </w:r>
      <w:r>
        <w:rPr>
          <w:rFonts w:ascii="仿宋" w:hAnsi="仿宋" w:eastAsia="仿宋"/>
          <w:bCs/>
          <w:spacing w:val="-4"/>
          <w:szCs w:val="32"/>
        </w:rPr>
        <w:t>党支部</w:t>
      </w:r>
      <w:r>
        <w:rPr>
          <w:rFonts w:hint="eastAsia" w:ascii="仿宋" w:hAnsi="仿宋" w:eastAsia="仿宋"/>
          <w:bCs/>
          <w:spacing w:val="-4"/>
          <w:szCs w:val="32"/>
        </w:rPr>
        <w:t>）为单位进行，也可以在各基层党委（党总支、直属</w:t>
      </w:r>
      <w:r>
        <w:rPr>
          <w:rFonts w:ascii="仿宋" w:hAnsi="仿宋" w:eastAsia="仿宋"/>
          <w:bCs/>
          <w:spacing w:val="-4"/>
          <w:szCs w:val="32"/>
        </w:rPr>
        <w:t>党支部</w:t>
      </w:r>
      <w:r>
        <w:rPr>
          <w:rFonts w:hint="eastAsia" w:ascii="仿宋" w:hAnsi="仿宋" w:eastAsia="仿宋"/>
          <w:bCs/>
          <w:spacing w:val="-4"/>
          <w:szCs w:val="32"/>
        </w:rPr>
        <w:t>）的指导下分若干党支部、党小组或系（部、中心）为单位进行。</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第六章  组织管理</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第十七条</w:t>
      </w:r>
      <w:r>
        <w:rPr>
          <w:rFonts w:hint="eastAsia" w:ascii="仿宋" w:hAnsi="仿宋" w:eastAsia="仿宋"/>
          <w:bCs/>
          <w:spacing w:val="-4"/>
          <w:szCs w:val="32"/>
        </w:rPr>
        <w:t xml:space="preserve">  全校教师政治理论学习由学校党委统一领导，学校党委宣传部负责教师政治理论学习的宏观指导和统筹管理，学校党委教师工作部在党委组织部、宣传部的指导下定期拟定教师政治理论指导性学习计划，做好全校教师政治理论学习的日常组织管理工作。</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第十八条</w:t>
      </w:r>
      <w:r>
        <w:rPr>
          <w:rFonts w:hint="eastAsia" w:ascii="仿宋" w:hAnsi="仿宋" w:eastAsia="仿宋"/>
          <w:bCs/>
          <w:spacing w:val="-4"/>
          <w:szCs w:val="32"/>
        </w:rPr>
        <w:t xml:space="preserve">  各基层党委（党总支、直属</w:t>
      </w:r>
      <w:r>
        <w:rPr>
          <w:rFonts w:ascii="仿宋" w:hAnsi="仿宋" w:eastAsia="仿宋"/>
          <w:bCs/>
          <w:spacing w:val="-4"/>
          <w:szCs w:val="32"/>
        </w:rPr>
        <w:t>党支部</w:t>
      </w:r>
      <w:r>
        <w:rPr>
          <w:rFonts w:hint="eastAsia" w:ascii="仿宋" w:hAnsi="仿宋" w:eastAsia="仿宋"/>
          <w:bCs/>
          <w:spacing w:val="-4"/>
          <w:szCs w:val="32"/>
        </w:rPr>
        <w:t>）负责本单位教师政治理论学习的具体组织实施和管理工作，每年初根据学校指导性学习计划结合本单位实际情况制定年度学习计划报学校党委教师工作部备案。每学年结束前，各基层党委（党总支、直属</w:t>
      </w:r>
      <w:r>
        <w:rPr>
          <w:rFonts w:ascii="仿宋" w:hAnsi="仿宋" w:eastAsia="仿宋"/>
          <w:bCs/>
          <w:spacing w:val="-4"/>
          <w:szCs w:val="32"/>
        </w:rPr>
        <w:t>党支部</w:t>
      </w:r>
      <w:r>
        <w:rPr>
          <w:rFonts w:hint="eastAsia" w:ascii="仿宋" w:hAnsi="仿宋" w:eastAsia="仿宋"/>
          <w:bCs/>
          <w:spacing w:val="-4"/>
          <w:szCs w:val="32"/>
        </w:rPr>
        <w:t>）要将本单位政治理论学习情况总结材料报学校党委教师工作部。</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第十九条</w:t>
      </w:r>
      <w:r>
        <w:rPr>
          <w:rFonts w:hint="eastAsia" w:ascii="仿宋" w:hAnsi="仿宋" w:eastAsia="仿宋"/>
          <w:bCs/>
          <w:spacing w:val="-4"/>
          <w:szCs w:val="32"/>
        </w:rPr>
        <w:t xml:space="preserve">  各基层党委（党总支、直属</w:t>
      </w:r>
      <w:r>
        <w:rPr>
          <w:rFonts w:ascii="仿宋" w:hAnsi="仿宋" w:eastAsia="仿宋"/>
          <w:bCs/>
          <w:spacing w:val="-4"/>
          <w:szCs w:val="32"/>
        </w:rPr>
        <w:t>党支部</w:t>
      </w:r>
      <w:r>
        <w:rPr>
          <w:rFonts w:hint="eastAsia" w:ascii="仿宋" w:hAnsi="仿宋" w:eastAsia="仿宋"/>
          <w:bCs/>
          <w:spacing w:val="-4"/>
          <w:szCs w:val="32"/>
        </w:rPr>
        <w:t>）要建立好所属教师政治理论学习档案，指定专人做好政治理论学习的记录，记录包括学习时间、学习地点、学习形式、学习内容、和考勤情况等，并收集保存好政治理论学习相关的资料、照片或影像资料等。</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第二十条</w:t>
      </w:r>
      <w:r>
        <w:rPr>
          <w:rFonts w:hint="eastAsia" w:ascii="仿宋" w:hAnsi="仿宋" w:eastAsia="仿宋"/>
          <w:bCs/>
          <w:spacing w:val="-4"/>
          <w:szCs w:val="32"/>
        </w:rPr>
        <w:t xml:space="preserve"> </w:t>
      </w:r>
      <w:r>
        <w:rPr>
          <w:rFonts w:ascii="仿宋" w:hAnsi="仿宋" w:eastAsia="仿宋"/>
          <w:bCs/>
          <w:spacing w:val="-4"/>
          <w:szCs w:val="32"/>
        </w:rPr>
        <w:t xml:space="preserve"> </w:t>
      </w:r>
      <w:r>
        <w:rPr>
          <w:rFonts w:hint="eastAsia" w:ascii="仿宋" w:hAnsi="仿宋" w:eastAsia="仿宋"/>
          <w:bCs/>
          <w:spacing w:val="-4"/>
          <w:szCs w:val="32"/>
        </w:rPr>
        <w:t>各基层党委（党总支、直属</w:t>
      </w:r>
      <w:r>
        <w:rPr>
          <w:rFonts w:ascii="仿宋" w:hAnsi="仿宋" w:eastAsia="仿宋"/>
          <w:bCs/>
          <w:spacing w:val="-4"/>
          <w:szCs w:val="32"/>
        </w:rPr>
        <w:t>党支部</w:t>
      </w:r>
      <w:r>
        <w:rPr>
          <w:rFonts w:hint="eastAsia" w:ascii="仿宋" w:hAnsi="仿宋" w:eastAsia="仿宋"/>
          <w:bCs/>
          <w:spacing w:val="-4"/>
          <w:szCs w:val="32"/>
        </w:rPr>
        <w:t>）负责人为教师政治理论学习工作第一责任人，各学院党政领导班子成员等要带头学习，发挥示范和表率作用。</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第二十一条</w:t>
      </w:r>
      <w:r>
        <w:rPr>
          <w:rFonts w:ascii="仿宋" w:hAnsi="仿宋" w:eastAsia="仿宋"/>
          <w:bCs/>
          <w:spacing w:val="-4"/>
          <w:szCs w:val="32"/>
        </w:rPr>
        <w:t xml:space="preserve">  </w:t>
      </w:r>
      <w:r>
        <w:rPr>
          <w:rFonts w:hint="eastAsia" w:ascii="仿宋" w:hAnsi="仿宋" w:eastAsia="仿宋"/>
          <w:bCs/>
          <w:spacing w:val="-4"/>
          <w:szCs w:val="32"/>
        </w:rPr>
        <w:t>教师要严格遵守学习制度，按时参加政治理论学习，做好读书笔记，撰写学习心得，不得无故缺席，因特殊情况不能参加学习者应事先办理请假手续。</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第七章  督导考核</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第二十二条</w:t>
      </w:r>
      <w:r>
        <w:rPr>
          <w:rFonts w:ascii="仿宋" w:hAnsi="仿宋" w:eastAsia="仿宋"/>
          <w:bCs/>
          <w:spacing w:val="-4"/>
          <w:szCs w:val="32"/>
        </w:rPr>
        <w:t xml:space="preserve">  </w:t>
      </w:r>
      <w:r>
        <w:rPr>
          <w:rFonts w:hint="eastAsia" w:ascii="仿宋" w:hAnsi="仿宋" w:eastAsia="仿宋"/>
          <w:bCs/>
          <w:spacing w:val="-4"/>
          <w:szCs w:val="32"/>
        </w:rPr>
        <w:t>各基层党委（党总支、直属</w:t>
      </w:r>
      <w:r>
        <w:rPr>
          <w:rFonts w:ascii="仿宋" w:hAnsi="仿宋" w:eastAsia="仿宋"/>
          <w:bCs/>
          <w:spacing w:val="-4"/>
          <w:szCs w:val="32"/>
        </w:rPr>
        <w:t>党支部</w:t>
      </w:r>
      <w:r>
        <w:rPr>
          <w:rFonts w:hint="eastAsia" w:ascii="仿宋" w:hAnsi="仿宋" w:eastAsia="仿宋"/>
          <w:bCs/>
          <w:spacing w:val="-4"/>
          <w:szCs w:val="32"/>
        </w:rPr>
        <w:t>）负责做好本单位教师政治理论学习情况年度考核工作。教师参加政治理论学习情况要作为重要内容纳入教师年度考核、职称评审和评奖评优。凡无故不参加政治理论学习或因病因事缺席学习三分之一及以上的，年度考核不能为优秀，不能参加各级各类评优评先。每年年底，各基层党委（党总支、直属</w:t>
      </w:r>
      <w:r>
        <w:rPr>
          <w:rFonts w:ascii="仿宋" w:hAnsi="仿宋" w:eastAsia="仿宋"/>
          <w:bCs/>
          <w:spacing w:val="-4"/>
          <w:szCs w:val="32"/>
        </w:rPr>
        <w:t>党支部</w:t>
      </w:r>
      <w:r>
        <w:rPr>
          <w:rFonts w:hint="eastAsia" w:ascii="仿宋" w:hAnsi="仿宋" w:eastAsia="仿宋"/>
          <w:bCs/>
          <w:spacing w:val="-4"/>
          <w:szCs w:val="32"/>
        </w:rPr>
        <w:t>）将教师政治理论学习考核结果报党委教师工作部备案。</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第二十三条</w:t>
      </w:r>
      <w:r>
        <w:rPr>
          <w:rFonts w:ascii="仿宋" w:hAnsi="仿宋" w:eastAsia="仿宋"/>
          <w:bCs/>
          <w:spacing w:val="-4"/>
          <w:szCs w:val="32"/>
        </w:rPr>
        <w:t xml:space="preserve">  </w:t>
      </w:r>
      <w:r>
        <w:rPr>
          <w:rFonts w:hint="eastAsia" w:ascii="仿宋" w:hAnsi="仿宋" w:eastAsia="仿宋"/>
          <w:bCs/>
          <w:spacing w:val="-4"/>
          <w:szCs w:val="32"/>
        </w:rPr>
        <w:t>各基层党委（党总支、直属</w:t>
      </w:r>
      <w:r>
        <w:rPr>
          <w:rFonts w:ascii="仿宋" w:hAnsi="仿宋" w:eastAsia="仿宋"/>
          <w:bCs/>
          <w:spacing w:val="-4"/>
          <w:szCs w:val="32"/>
        </w:rPr>
        <w:t>党支部</w:t>
      </w:r>
      <w:r>
        <w:rPr>
          <w:rFonts w:hint="eastAsia" w:ascii="仿宋" w:hAnsi="仿宋" w:eastAsia="仿宋"/>
          <w:bCs/>
          <w:spacing w:val="-4"/>
          <w:szCs w:val="32"/>
        </w:rPr>
        <w:t>）领导班子在年终考核述职时，要有组织教师政治理论学习情况的内容。教师政治理论学习组织落实情况要作为重要内容纳入各级党组织党建考核、纳入领导班子和领导干部综合考核。</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第二十四条</w:t>
      </w:r>
      <w:r>
        <w:rPr>
          <w:rFonts w:hint="eastAsia" w:ascii="仿宋" w:hAnsi="仿宋" w:eastAsia="仿宋"/>
          <w:bCs/>
          <w:spacing w:val="-4"/>
          <w:szCs w:val="32"/>
        </w:rPr>
        <w:t xml:space="preserve"> </w:t>
      </w:r>
      <w:r>
        <w:rPr>
          <w:rFonts w:ascii="仿宋" w:hAnsi="仿宋" w:eastAsia="仿宋"/>
          <w:bCs/>
          <w:spacing w:val="-4"/>
          <w:szCs w:val="32"/>
        </w:rPr>
        <w:t xml:space="preserve"> </w:t>
      </w:r>
      <w:r>
        <w:rPr>
          <w:rFonts w:hint="eastAsia" w:ascii="仿宋" w:hAnsi="仿宋" w:eastAsia="仿宋"/>
          <w:bCs/>
          <w:spacing w:val="-4"/>
          <w:szCs w:val="32"/>
        </w:rPr>
        <w:t>教师工作部会同组织部、宣传部对各单位政治理论学习的组织情况进行检查督导，总结学习活动情况，并向学校党委汇报。</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 xml:space="preserve">第八章  </w:t>
      </w:r>
      <w:r>
        <w:rPr>
          <w:rFonts w:ascii="Calibri" w:hAnsi="Calibri" w:eastAsia="黑体" w:cs="Calibri"/>
          <w:spacing w:val="-4"/>
          <w:szCs w:val="32"/>
        </w:rPr>
        <w:t> </w:t>
      </w:r>
      <w:r>
        <w:rPr>
          <w:rFonts w:hint="eastAsia" w:ascii="黑体" w:hAnsi="黑体" w:eastAsia="黑体"/>
          <w:spacing w:val="-4"/>
          <w:szCs w:val="32"/>
        </w:rPr>
        <w:t>学习宣传</w:t>
      </w:r>
    </w:p>
    <w:p>
      <w:pPr>
        <w:spacing w:line="540" w:lineRule="exact"/>
        <w:ind w:firstLine="627" w:firstLineChars="200"/>
        <w:rPr>
          <w:rFonts w:ascii="仿宋" w:hAnsi="仿宋" w:eastAsia="仿宋"/>
          <w:bCs/>
          <w:spacing w:val="-4"/>
          <w:szCs w:val="32"/>
        </w:rPr>
      </w:pPr>
      <w:r>
        <w:rPr>
          <w:rFonts w:hint="eastAsia" w:ascii="仿宋" w:hAnsi="仿宋" w:eastAsia="仿宋"/>
          <w:b/>
          <w:bCs/>
          <w:spacing w:val="-4"/>
          <w:szCs w:val="32"/>
        </w:rPr>
        <w:t>第二十五条</w:t>
      </w:r>
      <w:r>
        <w:rPr>
          <w:rFonts w:hint="eastAsia" w:ascii="仿宋" w:hAnsi="仿宋" w:eastAsia="仿宋"/>
          <w:bCs/>
          <w:spacing w:val="-4"/>
          <w:szCs w:val="32"/>
        </w:rPr>
        <w:t xml:space="preserve"> </w:t>
      </w:r>
      <w:r>
        <w:rPr>
          <w:rFonts w:ascii="仿宋" w:hAnsi="仿宋" w:eastAsia="仿宋"/>
          <w:bCs/>
          <w:spacing w:val="-4"/>
          <w:szCs w:val="32"/>
        </w:rPr>
        <w:t xml:space="preserve"> </w:t>
      </w:r>
      <w:r>
        <w:rPr>
          <w:rFonts w:hint="eastAsia" w:ascii="仿宋" w:hAnsi="仿宋" w:eastAsia="仿宋"/>
          <w:bCs/>
          <w:spacing w:val="-4"/>
          <w:szCs w:val="32"/>
        </w:rPr>
        <w:t>各基层党委（党总支、直属</w:t>
      </w:r>
      <w:r>
        <w:rPr>
          <w:rFonts w:ascii="仿宋" w:hAnsi="仿宋" w:eastAsia="仿宋"/>
          <w:bCs/>
          <w:spacing w:val="-4"/>
          <w:szCs w:val="32"/>
        </w:rPr>
        <w:t>党支部</w:t>
      </w:r>
      <w:r>
        <w:rPr>
          <w:rFonts w:hint="eastAsia" w:ascii="仿宋" w:hAnsi="仿宋" w:eastAsia="仿宋"/>
          <w:bCs/>
          <w:spacing w:val="-4"/>
          <w:szCs w:val="32"/>
        </w:rPr>
        <w:t>）要重视政治理论学习的宣传报道工作，及时宣传本单位政治理论学习的动态、做法、经验和成效；利用学校新闻网、校报、广播电视、橱窗、微信、微博等宣传阵地，广泛宣传在政治理论学习中表现突出的单位和个人，努力在全校形成良好的学习氛围。</w:t>
      </w:r>
    </w:p>
    <w:p>
      <w:pPr>
        <w:spacing w:before="289" w:beforeLines="50" w:line="540" w:lineRule="exact"/>
        <w:jc w:val="center"/>
        <w:rPr>
          <w:rFonts w:ascii="黑体" w:hAnsi="黑体" w:eastAsia="黑体"/>
          <w:spacing w:val="-4"/>
          <w:szCs w:val="32"/>
        </w:rPr>
      </w:pPr>
      <w:r>
        <w:rPr>
          <w:rFonts w:hint="eastAsia" w:ascii="黑体" w:hAnsi="黑体" w:eastAsia="黑体"/>
          <w:spacing w:val="-4"/>
          <w:szCs w:val="32"/>
        </w:rPr>
        <w:t>第九章  附  则</w:t>
      </w:r>
    </w:p>
    <w:p>
      <w:pPr>
        <w:spacing w:line="540" w:lineRule="exact"/>
        <w:ind w:firstLine="627" w:firstLineChars="200"/>
        <w:jc w:val="left"/>
        <w:rPr>
          <w:rFonts w:ascii="仿宋" w:hAnsi="仿宋" w:eastAsia="仿宋"/>
          <w:bCs/>
          <w:spacing w:val="-4"/>
          <w:szCs w:val="32"/>
        </w:rPr>
      </w:pPr>
      <w:r>
        <w:rPr>
          <w:rFonts w:hint="eastAsia" w:ascii="仿宋" w:hAnsi="仿宋" w:eastAsia="仿宋"/>
          <w:b/>
          <w:bCs/>
          <w:spacing w:val="-4"/>
          <w:szCs w:val="32"/>
        </w:rPr>
        <w:t>第二十六条</w:t>
      </w:r>
      <w:r>
        <w:rPr>
          <w:rFonts w:ascii="Calibri" w:hAnsi="Calibri" w:eastAsia="仿宋" w:cs="Calibri"/>
          <w:bCs/>
          <w:spacing w:val="-4"/>
          <w:szCs w:val="32"/>
        </w:rPr>
        <w:t> </w:t>
      </w:r>
      <w:r>
        <w:rPr>
          <w:rFonts w:ascii="仿宋" w:hAnsi="仿宋" w:eastAsia="仿宋"/>
          <w:bCs/>
          <w:spacing w:val="-4"/>
          <w:szCs w:val="32"/>
        </w:rPr>
        <w:t xml:space="preserve">  </w:t>
      </w:r>
      <w:r>
        <w:rPr>
          <w:rFonts w:hint="eastAsia" w:ascii="仿宋" w:hAnsi="仿宋" w:eastAsia="仿宋"/>
          <w:bCs/>
          <w:spacing w:val="-4"/>
          <w:szCs w:val="32"/>
        </w:rPr>
        <w:t>本制度由学校党委教师工作部负责解释。</w:t>
      </w:r>
    </w:p>
    <w:p>
      <w:pPr>
        <w:spacing w:line="540" w:lineRule="exact"/>
        <w:ind w:firstLine="627" w:firstLineChars="200"/>
        <w:jc w:val="left"/>
        <w:rPr>
          <w:rFonts w:ascii="仿宋" w:hAnsi="仿宋" w:eastAsia="仿宋"/>
          <w:b/>
          <w:bCs/>
          <w:spacing w:val="-4"/>
          <w:szCs w:val="32"/>
        </w:rPr>
      </w:pPr>
      <w:r>
        <w:rPr>
          <w:rFonts w:hint="eastAsia" w:ascii="仿宋" w:hAnsi="仿宋" w:eastAsia="仿宋"/>
          <w:b/>
          <w:bCs/>
          <w:spacing w:val="-4"/>
          <w:szCs w:val="32"/>
        </w:rPr>
        <w:t>第二十七条</w:t>
      </w:r>
      <w:r>
        <w:rPr>
          <w:rFonts w:ascii="Calibri" w:hAnsi="Calibri" w:eastAsia="仿宋" w:cs="Calibri"/>
          <w:bCs/>
          <w:spacing w:val="-4"/>
          <w:szCs w:val="32"/>
        </w:rPr>
        <w:t> </w:t>
      </w:r>
      <w:r>
        <w:rPr>
          <w:rFonts w:ascii="仿宋" w:hAnsi="仿宋" w:eastAsia="仿宋"/>
          <w:bCs/>
          <w:spacing w:val="-4"/>
          <w:szCs w:val="32"/>
        </w:rPr>
        <w:t xml:space="preserve">  </w:t>
      </w:r>
      <w:r>
        <w:rPr>
          <w:rFonts w:hint="eastAsia" w:ascii="仿宋" w:hAnsi="仿宋" w:eastAsia="仿宋"/>
          <w:bCs/>
          <w:spacing w:val="-4"/>
          <w:szCs w:val="32"/>
        </w:rPr>
        <w:t>本制度自公布之日起施行。</w:t>
      </w:r>
    </w:p>
    <w:p>
      <w:pPr>
        <w:spacing w:line="540" w:lineRule="exact"/>
        <w:ind w:firstLine="656" w:firstLineChars="200"/>
        <w:jc w:val="left"/>
        <w:rPr>
          <w:rFonts w:cs="宋体"/>
          <w:snapToGrid w:val="0"/>
          <w:spacing w:val="4"/>
          <w:kern w:val="28"/>
          <w:szCs w:val="10"/>
        </w:rPr>
      </w:pPr>
    </w:p>
    <w:tbl>
      <w:tblPr>
        <w:tblStyle w:val="9"/>
        <w:tblpPr w:leftFromText="180" w:rightFromText="180" w:vertAnchor="page" w:horzAnchor="margin" w:tblpY="14191"/>
        <w:tblW w:w="88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6"/>
        <w:gridCol w:w="4671"/>
        <w:gridCol w:w="378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392" w:hRule="atLeast"/>
        </w:trPr>
        <w:tc>
          <w:tcPr>
            <w:tcW w:w="366" w:type="dxa"/>
            <w:tcBorders>
              <w:top w:val="single" w:color="auto" w:sz="4" w:space="0"/>
              <w:bottom w:val="single" w:color="auto" w:sz="4" w:space="0"/>
            </w:tcBorders>
          </w:tcPr>
          <w:p>
            <w:pPr>
              <w:tabs>
                <w:tab w:val="left" w:pos="5598"/>
              </w:tabs>
              <w:rPr>
                <w:rFonts w:eastAsia="仿宋"/>
              </w:rPr>
            </w:pPr>
          </w:p>
        </w:tc>
        <w:tc>
          <w:tcPr>
            <w:tcW w:w="4671" w:type="dxa"/>
            <w:tcBorders>
              <w:top w:val="single" w:color="auto" w:sz="4" w:space="0"/>
              <w:bottom w:val="single" w:color="auto" w:sz="4" w:space="0"/>
            </w:tcBorders>
          </w:tcPr>
          <w:p>
            <w:pPr>
              <w:tabs>
                <w:tab w:val="left" w:pos="5598"/>
              </w:tabs>
              <w:jc w:val="left"/>
              <w:rPr>
                <w:rFonts w:eastAsia="仿宋"/>
              </w:rPr>
            </w:pPr>
            <w:r>
              <w:rPr>
                <w:rFonts w:eastAsia="仿宋"/>
              </w:rPr>
              <w:t>南京邮电大学党委办公室</w:t>
            </w:r>
          </w:p>
        </w:tc>
        <w:tc>
          <w:tcPr>
            <w:tcW w:w="3785" w:type="dxa"/>
            <w:tcBorders>
              <w:top w:val="single" w:color="auto" w:sz="4" w:space="0"/>
              <w:bottom w:val="single" w:color="auto" w:sz="4" w:space="0"/>
            </w:tcBorders>
          </w:tcPr>
          <w:p>
            <w:pPr>
              <w:tabs>
                <w:tab w:val="left" w:pos="5598"/>
              </w:tabs>
              <w:ind w:right="298"/>
              <w:rPr>
                <w:rFonts w:eastAsia="仿宋"/>
              </w:rPr>
            </w:pPr>
            <w:r>
              <w:rPr>
                <w:rFonts w:eastAsia="仿宋"/>
              </w:rPr>
              <w:t>2018年</w:t>
            </w:r>
            <w:r>
              <w:rPr>
                <w:rFonts w:hint="eastAsia" w:eastAsia="仿宋"/>
              </w:rPr>
              <w:t>12</w:t>
            </w:r>
            <w:r>
              <w:rPr>
                <w:rFonts w:eastAsia="仿宋"/>
              </w:rPr>
              <w:t>月</w:t>
            </w:r>
            <w:r>
              <w:rPr>
                <w:rFonts w:hint="eastAsia" w:eastAsia="仿宋"/>
              </w:rPr>
              <w:t>28</w:t>
            </w:r>
            <w:r>
              <w:rPr>
                <w:rFonts w:eastAsia="仿宋"/>
              </w:rPr>
              <w:t>日印发</w:t>
            </w:r>
          </w:p>
        </w:tc>
      </w:tr>
    </w:tbl>
    <w:p>
      <w:pPr>
        <w:spacing w:line="560" w:lineRule="exact"/>
        <w:rPr>
          <w:rFonts w:cs="宋体"/>
          <w:snapToGrid w:val="0"/>
          <w:spacing w:val="4"/>
          <w:kern w:val="28"/>
          <w:szCs w:val="10"/>
        </w:rPr>
      </w:pPr>
    </w:p>
    <w:sectPr>
      <w:footerReference r:id="rId3" w:type="default"/>
      <w:footerReference r:id="rId4" w:type="even"/>
      <w:pgSz w:w="11906" w:h="16838"/>
      <w:pgMar w:top="2098" w:right="1531" w:bottom="1985" w:left="1531" w:header="851" w:footer="164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Space="397" w:wrap="around" w:vAnchor="text" w:hAnchor="margin" w:xAlign="center" w:y="1"/>
      <w:rPr>
        <w:rStyle w:val="13"/>
        <w:sz w:val="28"/>
      </w:rPr>
    </w:pPr>
    <w:r>
      <w:rPr>
        <w:rStyle w:val="13"/>
        <w:rFonts w:hint="eastAsia" w:ascii="仿宋_GB2312"/>
        <w:sz w:val="28"/>
      </w:rPr>
      <w:t>─</w:t>
    </w:r>
    <w:r>
      <w:rPr>
        <w:rStyle w:val="13"/>
        <w:rFonts w:hint="eastAsia"/>
        <w:sz w:val="28"/>
      </w:rPr>
      <w:t>　</w:t>
    </w:r>
    <w:r>
      <w:rPr>
        <w:rStyle w:val="13"/>
        <w:sz w:val="28"/>
      </w:rPr>
      <w:fldChar w:fldCharType="begin"/>
    </w:r>
    <w:r>
      <w:rPr>
        <w:rStyle w:val="13"/>
        <w:sz w:val="28"/>
      </w:rPr>
      <w:instrText xml:space="preserve">PAGE  </w:instrText>
    </w:r>
    <w:r>
      <w:rPr>
        <w:rStyle w:val="13"/>
        <w:sz w:val="28"/>
      </w:rPr>
      <w:fldChar w:fldCharType="separate"/>
    </w:r>
    <w:r>
      <w:rPr>
        <w:rStyle w:val="13"/>
        <w:sz w:val="28"/>
      </w:rPr>
      <w:t>2</w:t>
    </w:r>
    <w:r>
      <w:rPr>
        <w:rStyle w:val="13"/>
        <w:sz w:val="28"/>
      </w:rPr>
      <w:fldChar w:fldCharType="end"/>
    </w:r>
    <w:r>
      <w:rPr>
        <w:rStyle w:val="13"/>
        <w:rFonts w:hint="eastAsia"/>
        <w:sz w:val="28"/>
      </w:rPr>
      <w:t>　</w:t>
    </w:r>
    <w:r>
      <w:rPr>
        <w:rStyle w:val="13"/>
        <w:rFonts w:hint="eastAsia" w:ascii="仿宋_GB2312"/>
        <w:sz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74"/>
    <w:rsid w:val="000007CD"/>
    <w:rsid w:val="00002725"/>
    <w:rsid w:val="00004660"/>
    <w:rsid w:val="00004930"/>
    <w:rsid w:val="0000695F"/>
    <w:rsid w:val="00010BAD"/>
    <w:rsid w:val="000122C4"/>
    <w:rsid w:val="00012400"/>
    <w:rsid w:val="00012787"/>
    <w:rsid w:val="00012B48"/>
    <w:rsid w:val="0001304C"/>
    <w:rsid w:val="00013157"/>
    <w:rsid w:val="00013AA1"/>
    <w:rsid w:val="00013EF5"/>
    <w:rsid w:val="00014446"/>
    <w:rsid w:val="00014598"/>
    <w:rsid w:val="00015304"/>
    <w:rsid w:val="00017C05"/>
    <w:rsid w:val="00017E20"/>
    <w:rsid w:val="00021ACB"/>
    <w:rsid w:val="00024BF0"/>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5EA"/>
    <w:rsid w:val="000740C0"/>
    <w:rsid w:val="00074AA6"/>
    <w:rsid w:val="00076F64"/>
    <w:rsid w:val="000816CB"/>
    <w:rsid w:val="00085792"/>
    <w:rsid w:val="00086B72"/>
    <w:rsid w:val="00087EC4"/>
    <w:rsid w:val="00090CD5"/>
    <w:rsid w:val="00092A50"/>
    <w:rsid w:val="000940CB"/>
    <w:rsid w:val="00095F6C"/>
    <w:rsid w:val="00097C26"/>
    <w:rsid w:val="000A00EA"/>
    <w:rsid w:val="000A03D2"/>
    <w:rsid w:val="000A0A49"/>
    <w:rsid w:val="000A3697"/>
    <w:rsid w:val="000A3C38"/>
    <w:rsid w:val="000A5910"/>
    <w:rsid w:val="000B05EA"/>
    <w:rsid w:val="000B16B4"/>
    <w:rsid w:val="000B2BFE"/>
    <w:rsid w:val="000B40F8"/>
    <w:rsid w:val="000B5EF0"/>
    <w:rsid w:val="000C1AB6"/>
    <w:rsid w:val="000C51AD"/>
    <w:rsid w:val="000C6DEE"/>
    <w:rsid w:val="000D2165"/>
    <w:rsid w:val="000D3DF5"/>
    <w:rsid w:val="000D5AFC"/>
    <w:rsid w:val="000D71F0"/>
    <w:rsid w:val="000D798F"/>
    <w:rsid w:val="000D79A8"/>
    <w:rsid w:val="000E05B2"/>
    <w:rsid w:val="000E3181"/>
    <w:rsid w:val="000E31ED"/>
    <w:rsid w:val="000E326E"/>
    <w:rsid w:val="000E4D54"/>
    <w:rsid w:val="000E51DC"/>
    <w:rsid w:val="000E61CE"/>
    <w:rsid w:val="000E65C5"/>
    <w:rsid w:val="000E734B"/>
    <w:rsid w:val="000E77EB"/>
    <w:rsid w:val="000F31E0"/>
    <w:rsid w:val="000F7FB4"/>
    <w:rsid w:val="00100174"/>
    <w:rsid w:val="00103E27"/>
    <w:rsid w:val="0010552B"/>
    <w:rsid w:val="00105FF1"/>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828"/>
    <w:rsid w:val="00140308"/>
    <w:rsid w:val="00141258"/>
    <w:rsid w:val="001428ED"/>
    <w:rsid w:val="00144309"/>
    <w:rsid w:val="001445D7"/>
    <w:rsid w:val="00145F83"/>
    <w:rsid w:val="001504F1"/>
    <w:rsid w:val="001511EC"/>
    <w:rsid w:val="00151F0E"/>
    <w:rsid w:val="00155F3F"/>
    <w:rsid w:val="001567D4"/>
    <w:rsid w:val="00162C4A"/>
    <w:rsid w:val="001663E7"/>
    <w:rsid w:val="00166621"/>
    <w:rsid w:val="00170295"/>
    <w:rsid w:val="00170E4E"/>
    <w:rsid w:val="00170E9D"/>
    <w:rsid w:val="00175BA9"/>
    <w:rsid w:val="00176A1C"/>
    <w:rsid w:val="00180201"/>
    <w:rsid w:val="00181F9B"/>
    <w:rsid w:val="00183219"/>
    <w:rsid w:val="001843A1"/>
    <w:rsid w:val="0019032D"/>
    <w:rsid w:val="00190ADE"/>
    <w:rsid w:val="00190AFE"/>
    <w:rsid w:val="00192774"/>
    <w:rsid w:val="001935D7"/>
    <w:rsid w:val="00196E25"/>
    <w:rsid w:val="001A0F8F"/>
    <w:rsid w:val="001A13BB"/>
    <w:rsid w:val="001A36E4"/>
    <w:rsid w:val="001A5104"/>
    <w:rsid w:val="001A64FB"/>
    <w:rsid w:val="001B0938"/>
    <w:rsid w:val="001B0A0A"/>
    <w:rsid w:val="001B427A"/>
    <w:rsid w:val="001B4834"/>
    <w:rsid w:val="001B49F1"/>
    <w:rsid w:val="001B6849"/>
    <w:rsid w:val="001B6D6B"/>
    <w:rsid w:val="001C3002"/>
    <w:rsid w:val="001C47D2"/>
    <w:rsid w:val="001C5134"/>
    <w:rsid w:val="001C6FEB"/>
    <w:rsid w:val="001C7AB6"/>
    <w:rsid w:val="001D0F85"/>
    <w:rsid w:val="001D1345"/>
    <w:rsid w:val="001D2691"/>
    <w:rsid w:val="001D521F"/>
    <w:rsid w:val="001D7F34"/>
    <w:rsid w:val="001E08F9"/>
    <w:rsid w:val="001E0E58"/>
    <w:rsid w:val="001F3019"/>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50AB"/>
    <w:rsid w:val="002562FD"/>
    <w:rsid w:val="002617DB"/>
    <w:rsid w:val="002618E3"/>
    <w:rsid w:val="002651EC"/>
    <w:rsid w:val="00265A3F"/>
    <w:rsid w:val="00266EF1"/>
    <w:rsid w:val="00267FB6"/>
    <w:rsid w:val="00270732"/>
    <w:rsid w:val="00273BEA"/>
    <w:rsid w:val="00284837"/>
    <w:rsid w:val="00286CDE"/>
    <w:rsid w:val="002916D6"/>
    <w:rsid w:val="00291FE4"/>
    <w:rsid w:val="00292748"/>
    <w:rsid w:val="00292AFF"/>
    <w:rsid w:val="00294B24"/>
    <w:rsid w:val="00295D72"/>
    <w:rsid w:val="002968A4"/>
    <w:rsid w:val="00297506"/>
    <w:rsid w:val="00297AF2"/>
    <w:rsid w:val="00297B21"/>
    <w:rsid w:val="002A02C3"/>
    <w:rsid w:val="002A117A"/>
    <w:rsid w:val="002A1462"/>
    <w:rsid w:val="002A3BD6"/>
    <w:rsid w:val="002A3C04"/>
    <w:rsid w:val="002A5E8D"/>
    <w:rsid w:val="002A68C5"/>
    <w:rsid w:val="002A7564"/>
    <w:rsid w:val="002B2963"/>
    <w:rsid w:val="002B46DF"/>
    <w:rsid w:val="002B78F7"/>
    <w:rsid w:val="002C0219"/>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4382"/>
    <w:rsid w:val="00301591"/>
    <w:rsid w:val="00301602"/>
    <w:rsid w:val="00304173"/>
    <w:rsid w:val="00304DFF"/>
    <w:rsid w:val="0030552C"/>
    <w:rsid w:val="003135A8"/>
    <w:rsid w:val="003161C1"/>
    <w:rsid w:val="00316D7D"/>
    <w:rsid w:val="00316FA4"/>
    <w:rsid w:val="0031736B"/>
    <w:rsid w:val="00317575"/>
    <w:rsid w:val="00322648"/>
    <w:rsid w:val="00322C15"/>
    <w:rsid w:val="0032555B"/>
    <w:rsid w:val="00325D8E"/>
    <w:rsid w:val="003274CF"/>
    <w:rsid w:val="0033170F"/>
    <w:rsid w:val="00331E3D"/>
    <w:rsid w:val="00332E50"/>
    <w:rsid w:val="00332F6D"/>
    <w:rsid w:val="003411D2"/>
    <w:rsid w:val="00343070"/>
    <w:rsid w:val="00344A89"/>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6EE"/>
    <w:rsid w:val="00372E28"/>
    <w:rsid w:val="00373702"/>
    <w:rsid w:val="0037472E"/>
    <w:rsid w:val="00375814"/>
    <w:rsid w:val="00376E72"/>
    <w:rsid w:val="003805E1"/>
    <w:rsid w:val="00380979"/>
    <w:rsid w:val="00381248"/>
    <w:rsid w:val="00382188"/>
    <w:rsid w:val="0038295F"/>
    <w:rsid w:val="0038347B"/>
    <w:rsid w:val="0038715F"/>
    <w:rsid w:val="003904B1"/>
    <w:rsid w:val="00392D90"/>
    <w:rsid w:val="003940A4"/>
    <w:rsid w:val="003941E1"/>
    <w:rsid w:val="00394230"/>
    <w:rsid w:val="003A1119"/>
    <w:rsid w:val="003A1701"/>
    <w:rsid w:val="003A1EB7"/>
    <w:rsid w:val="003A66A1"/>
    <w:rsid w:val="003A6F9F"/>
    <w:rsid w:val="003B08BE"/>
    <w:rsid w:val="003B0F24"/>
    <w:rsid w:val="003B3CEB"/>
    <w:rsid w:val="003B4579"/>
    <w:rsid w:val="003B61B4"/>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A30"/>
    <w:rsid w:val="00407F7A"/>
    <w:rsid w:val="004111BF"/>
    <w:rsid w:val="00411272"/>
    <w:rsid w:val="004118AD"/>
    <w:rsid w:val="00411937"/>
    <w:rsid w:val="004128DF"/>
    <w:rsid w:val="004143ED"/>
    <w:rsid w:val="00414FCE"/>
    <w:rsid w:val="004176B6"/>
    <w:rsid w:val="0042099E"/>
    <w:rsid w:val="00421B70"/>
    <w:rsid w:val="004224F3"/>
    <w:rsid w:val="004258BE"/>
    <w:rsid w:val="00426684"/>
    <w:rsid w:val="00431065"/>
    <w:rsid w:val="00432638"/>
    <w:rsid w:val="00432FCE"/>
    <w:rsid w:val="00434DFD"/>
    <w:rsid w:val="004372F9"/>
    <w:rsid w:val="004401C0"/>
    <w:rsid w:val="00441E83"/>
    <w:rsid w:val="0044213A"/>
    <w:rsid w:val="00446F0B"/>
    <w:rsid w:val="004514E7"/>
    <w:rsid w:val="00453020"/>
    <w:rsid w:val="00453A36"/>
    <w:rsid w:val="00456888"/>
    <w:rsid w:val="004574A8"/>
    <w:rsid w:val="00457FA6"/>
    <w:rsid w:val="00461227"/>
    <w:rsid w:val="0046135A"/>
    <w:rsid w:val="00461FFA"/>
    <w:rsid w:val="004625D6"/>
    <w:rsid w:val="00463676"/>
    <w:rsid w:val="00463F27"/>
    <w:rsid w:val="00465B61"/>
    <w:rsid w:val="004670F6"/>
    <w:rsid w:val="0046746D"/>
    <w:rsid w:val="00467D8F"/>
    <w:rsid w:val="00470514"/>
    <w:rsid w:val="0047089F"/>
    <w:rsid w:val="00470E1D"/>
    <w:rsid w:val="00470F02"/>
    <w:rsid w:val="004731FC"/>
    <w:rsid w:val="00474A55"/>
    <w:rsid w:val="00475FC0"/>
    <w:rsid w:val="00476EEB"/>
    <w:rsid w:val="004778F5"/>
    <w:rsid w:val="00480AFA"/>
    <w:rsid w:val="0048208C"/>
    <w:rsid w:val="00482B7D"/>
    <w:rsid w:val="00482CD4"/>
    <w:rsid w:val="00483E7F"/>
    <w:rsid w:val="00483F57"/>
    <w:rsid w:val="0049042F"/>
    <w:rsid w:val="004908DF"/>
    <w:rsid w:val="00492D65"/>
    <w:rsid w:val="004933F3"/>
    <w:rsid w:val="00496CF0"/>
    <w:rsid w:val="004A2EE0"/>
    <w:rsid w:val="004A3D25"/>
    <w:rsid w:val="004A4679"/>
    <w:rsid w:val="004A547F"/>
    <w:rsid w:val="004A568C"/>
    <w:rsid w:val="004A6021"/>
    <w:rsid w:val="004A684A"/>
    <w:rsid w:val="004B0526"/>
    <w:rsid w:val="004B0F18"/>
    <w:rsid w:val="004B1CD2"/>
    <w:rsid w:val="004B27C6"/>
    <w:rsid w:val="004B305A"/>
    <w:rsid w:val="004B4453"/>
    <w:rsid w:val="004B5330"/>
    <w:rsid w:val="004B5687"/>
    <w:rsid w:val="004B58EC"/>
    <w:rsid w:val="004B5DC0"/>
    <w:rsid w:val="004B6936"/>
    <w:rsid w:val="004B6ADC"/>
    <w:rsid w:val="004C3BDF"/>
    <w:rsid w:val="004C4FB2"/>
    <w:rsid w:val="004C61B0"/>
    <w:rsid w:val="004C620B"/>
    <w:rsid w:val="004D0786"/>
    <w:rsid w:val="004D48B9"/>
    <w:rsid w:val="004D697A"/>
    <w:rsid w:val="004D6C0D"/>
    <w:rsid w:val="004D73EF"/>
    <w:rsid w:val="004E0138"/>
    <w:rsid w:val="004E258D"/>
    <w:rsid w:val="004E2B12"/>
    <w:rsid w:val="004E3057"/>
    <w:rsid w:val="004E3116"/>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1472"/>
    <w:rsid w:val="00522C94"/>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E96"/>
    <w:rsid w:val="00543857"/>
    <w:rsid w:val="005448F7"/>
    <w:rsid w:val="00544CA7"/>
    <w:rsid w:val="00544F6B"/>
    <w:rsid w:val="00545D66"/>
    <w:rsid w:val="00550A12"/>
    <w:rsid w:val="00550D79"/>
    <w:rsid w:val="00553960"/>
    <w:rsid w:val="00555074"/>
    <w:rsid w:val="0055527E"/>
    <w:rsid w:val="005617AB"/>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2269"/>
    <w:rsid w:val="00582B41"/>
    <w:rsid w:val="00585E8F"/>
    <w:rsid w:val="00586C66"/>
    <w:rsid w:val="00591765"/>
    <w:rsid w:val="0059203F"/>
    <w:rsid w:val="0059210D"/>
    <w:rsid w:val="00592349"/>
    <w:rsid w:val="005942F7"/>
    <w:rsid w:val="005A0291"/>
    <w:rsid w:val="005A1714"/>
    <w:rsid w:val="005A187B"/>
    <w:rsid w:val="005A328C"/>
    <w:rsid w:val="005A622C"/>
    <w:rsid w:val="005A65E6"/>
    <w:rsid w:val="005A70DF"/>
    <w:rsid w:val="005B0071"/>
    <w:rsid w:val="005B2327"/>
    <w:rsid w:val="005B2EFA"/>
    <w:rsid w:val="005B4AE5"/>
    <w:rsid w:val="005B5AC6"/>
    <w:rsid w:val="005B5D1E"/>
    <w:rsid w:val="005B7A56"/>
    <w:rsid w:val="005C3999"/>
    <w:rsid w:val="005C4B4A"/>
    <w:rsid w:val="005C4D46"/>
    <w:rsid w:val="005C5472"/>
    <w:rsid w:val="005C68D0"/>
    <w:rsid w:val="005D0FDE"/>
    <w:rsid w:val="005D2EA3"/>
    <w:rsid w:val="005D44DC"/>
    <w:rsid w:val="005D6DE7"/>
    <w:rsid w:val="005E063C"/>
    <w:rsid w:val="005E222B"/>
    <w:rsid w:val="005E458E"/>
    <w:rsid w:val="005E58CC"/>
    <w:rsid w:val="005F1606"/>
    <w:rsid w:val="005F453A"/>
    <w:rsid w:val="005F49EA"/>
    <w:rsid w:val="005F5244"/>
    <w:rsid w:val="005F5581"/>
    <w:rsid w:val="005F5FE3"/>
    <w:rsid w:val="005F6E7C"/>
    <w:rsid w:val="005F7DF3"/>
    <w:rsid w:val="006027B4"/>
    <w:rsid w:val="00605027"/>
    <w:rsid w:val="00605098"/>
    <w:rsid w:val="00606944"/>
    <w:rsid w:val="00606B33"/>
    <w:rsid w:val="006070EF"/>
    <w:rsid w:val="00611500"/>
    <w:rsid w:val="006119C6"/>
    <w:rsid w:val="00611FFD"/>
    <w:rsid w:val="00612E5B"/>
    <w:rsid w:val="0061349B"/>
    <w:rsid w:val="006144C3"/>
    <w:rsid w:val="006151C5"/>
    <w:rsid w:val="00617AAE"/>
    <w:rsid w:val="00620129"/>
    <w:rsid w:val="006233CC"/>
    <w:rsid w:val="00627E89"/>
    <w:rsid w:val="00633829"/>
    <w:rsid w:val="00634DAC"/>
    <w:rsid w:val="006372C4"/>
    <w:rsid w:val="00640055"/>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71140"/>
    <w:rsid w:val="0067521F"/>
    <w:rsid w:val="00675EF6"/>
    <w:rsid w:val="00675F8D"/>
    <w:rsid w:val="00680572"/>
    <w:rsid w:val="00681D98"/>
    <w:rsid w:val="00683AED"/>
    <w:rsid w:val="00686D9D"/>
    <w:rsid w:val="00687513"/>
    <w:rsid w:val="00691FFE"/>
    <w:rsid w:val="0069227A"/>
    <w:rsid w:val="00692C74"/>
    <w:rsid w:val="00693816"/>
    <w:rsid w:val="00693C41"/>
    <w:rsid w:val="00694AEB"/>
    <w:rsid w:val="006958C7"/>
    <w:rsid w:val="00696256"/>
    <w:rsid w:val="00697C51"/>
    <w:rsid w:val="006A052F"/>
    <w:rsid w:val="006A0D76"/>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7413"/>
    <w:rsid w:val="006E11EA"/>
    <w:rsid w:val="006E3DEA"/>
    <w:rsid w:val="006E46B9"/>
    <w:rsid w:val="006E474D"/>
    <w:rsid w:val="006F02AE"/>
    <w:rsid w:val="006F0698"/>
    <w:rsid w:val="006F1641"/>
    <w:rsid w:val="006F24CA"/>
    <w:rsid w:val="006F2636"/>
    <w:rsid w:val="006F2CFB"/>
    <w:rsid w:val="006F300E"/>
    <w:rsid w:val="006F6B94"/>
    <w:rsid w:val="007025BB"/>
    <w:rsid w:val="00703B40"/>
    <w:rsid w:val="00706403"/>
    <w:rsid w:val="00706904"/>
    <w:rsid w:val="0070744F"/>
    <w:rsid w:val="00710259"/>
    <w:rsid w:val="007130FB"/>
    <w:rsid w:val="007138EF"/>
    <w:rsid w:val="00715257"/>
    <w:rsid w:val="0071653C"/>
    <w:rsid w:val="00720521"/>
    <w:rsid w:val="007225FD"/>
    <w:rsid w:val="00722D06"/>
    <w:rsid w:val="00723F7A"/>
    <w:rsid w:val="00724185"/>
    <w:rsid w:val="00726AC2"/>
    <w:rsid w:val="00733BAC"/>
    <w:rsid w:val="00736395"/>
    <w:rsid w:val="00741530"/>
    <w:rsid w:val="00741670"/>
    <w:rsid w:val="0074448C"/>
    <w:rsid w:val="00745939"/>
    <w:rsid w:val="00745C7D"/>
    <w:rsid w:val="00746A67"/>
    <w:rsid w:val="00746D84"/>
    <w:rsid w:val="007552C2"/>
    <w:rsid w:val="007570EC"/>
    <w:rsid w:val="00757858"/>
    <w:rsid w:val="007628A5"/>
    <w:rsid w:val="00762D63"/>
    <w:rsid w:val="00763B07"/>
    <w:rsid w:val="00766AC3"/>
    <w:rsid w:val="00767469"/>
    <w:rsid w:val="00770B34"/>
    <w:rsid w:val="00771BC4"/>
    <w:rsid w:val="00772803"/>
    <w:rsid w:val="00773418"/>
    <w:rsid w:val="0077354D"/>
    <w:rsid w:val="00773741"/>
    <w:rsid w:val="007755CA"/>
    <w:rsid w:val="00776560"/>
    <w:rsid w:val="00780A1F"/>
    <w:rsid w:val="00782494"/>
    <w:rsid w:val="00783C6E"/>
    <w:rsid w:val="007844E7"/>
    <w:rsid w:val="00786B39"/>
    <w:rsid w:val="007872D1"/>
    <w:rsid w:val="00793391"/>
    <w:rsid w:val="00795E08"/>
    <w:rsid w:val="00796EEA"/>
    <w:rsid w:val="007A185A"/>
    <w:rsid w:val="007A3E6C"/>
    <w:rsid w:val="007A47FD"/>
    <w:rsid w:val="007A6E8D"/>
    <w:rsid w:val="007A784A"/>
    <w:rsid w:val="007A7EE5"/>
    <w:rsid w:val="007B0074"/>
    <w:rsid w:val="007B2599"/>
    <w:rsid w:val="007B3618"/>
    <w:rsid w:val="007B37EA"/>
    <w:rsid w:val="007B4B19"/>
    <w:rsid w:val="007B532F"/>
    <w:rsid w:val="007B6D77"/>
    <w:rsid w:val="007B72BD"/>
    <w:rsid w:val="007C0E20"/>
    <w:rsid w:val="007C28F3"/>
    <w:rsid w:val="007C416A"/>
    <w:rsid w:val="007C43DA"/>
    <w:rsid w:val="007C58ED"/>
    <w:rsid w:val="007C5D22"/>
    <w:rsid w:val="007C6A21"/>
    <w:rsid w:val="007C7BA9"/>
    <w:rsid w:val="007D01B3"/>
    <w:rsid w:val="007D4DAD"/>
    <w:rsid w:val="007D5FA6"/>
    <w:rsid w:val="007D6B82"/>
    <w:rsid w:val="007D7717"/>
    <w:rsid w:val="007E0BD5"/>
    <w:rsid w:val="007E1900"/>
    <w:rsid w:val="007E350B"/>
    <w:rsid w:val="007E41A9"/>
    <w:rsid w:val="007E6554"/>
    <w:rsid w:val="007F0630"/>
    <w:rsid w:val="007F100C"/>
    <w:rsid w:val="007F1B69"/>
    <w:rsid w:val="007F2D31"/>
    <w:rsid w:val="007F3C31"/>
    <w:rsid w:val="007F6487"/>
    <w:rsid w:val="00800A9B"/>
    <w:rsid w:val="008024C5"/>
    <w:rsid w:val="00802D50"/>
    <w:rsid w:val="00805684"/>
    <w:rsid w:val="008067A9"/>
    <w:rsid w:val="008103D6"/>
    <w:rsid w:val="0081047D"/>
    <w:rsid w:val="00811CF1"/>
    <w:rsid w:val="00812D4D"/>
    <w:rsid w:val="00812E34"/>
    <w:rsid w:val="00815308"/>
    <w:rsid w:val="00815691"/>
    <w:rsid w:val="008201FB"/>
    <w:rsid w:val="008212B9"/>
    <w:rsid w:val="00824554"/>
    <w:rsid w:val="0082488A"/>
    <w:rsid w:val="00824B3E"/>
    <w:rsid w:val="008251F6"/>
    <w:rsid w:val="00825457"/>
    <w:rsid w:val="00825CA9"/>
    <w:rsid w:val="0083034B"/>
    <w:rsid w:val="00831144"/>
    <w:rsid w:val="00831FA9"/>
    <w:rsid w:val="0083302D"/>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7154"/>
    <w:rsid w:val="008810B1"/>
    <w:rsid w:val="00881BA9"/>
    <w:rsid w:val="00881D7E"/>
    <w:rsid w:val="00885790"/>
    <w:rsid w:val="008874B6"/>
    <w:rsid w:val="00893747"/>
    <w:rsid w:val="00894322"/>
    <w:rsid w:val="008A0C53"/>
    <w:rsid w:val="008A2FB6"/>
    <w:rsid w:val="008A5706"/>
    <w:rsid w:val="008B00CE"/>
    <w:rsid w:val="008B1092"/>
    <w:rsid w:val="008B3627"/>
    <w:rsid w:val="008B4093"/>
    <w:rsid w:val="008C131A"/>
    <w:rsid w:val="008C1499"/>
    <w:rsid w:val="008C1A80"/>
    <w:rsid w:val="008C1C47"/>
    <w:rsid w:val="008C27BB"/>
    <w:rsid w:val="008C311E"/>
    <w:rsid w:val="008C31A8"/>
    <w:rsid w:val="008C3808"/>
    <w:rsid w:val="008C3C28"/>
    <w:rsid w:val="008C623D"/>
    <w:rsid w:val="008C737A"/>
    <w:rsid w:val="008C7743"/>
    <w:rsid w:val="008D1946"/>
    <w:rsid w:val="008D295E"/>
    <w:rsid w:val="008D2A4F"/>
    <w:rsid w:val="008D2B76"/>
    <w:rsid w:val="008D4E1C"/>
    <w:rsid w:val="008E07CA"/>
    <w:rsid w:val="008E0A8C"/>
    <w:rsid w:val="008E2ABE"/>
    <w:rsid w:val="008E2C34"/>
    <w:rsid w:val="008E34F3"/>
    <w:rsid w:val="008E53E4"/>
    <w:rsid w:val="008F2170"/>
    <w:rsid w:val="008F291A"/>
    <w:rsid w:val="008F6138"/>
    <w:rsid w:val="008F6FFF"/>
    <w:rsid w:val="00901FA2"/>
    <w:rsid w:val="00902D67"/>
    <w:rsid w:val="00904875"/>
    <w:rsid w:val="00905182"/>
    <w:rsid w:val="00905600"/>
    <w:rsid w:val="00906311"/>
    <w:rsid w:val="0091094E"/>
    <w:rsid w:val="009115E9"/>
    <w:rsid w:val="00913272"/>
    <w:rsid w:val="009133A9"/>
    <w:rsid w:val="00913791"/>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4298"/>
    <w:rsid w:val="00934C25"/>
    <w:rsid w:val="009350C0"/>
    <w:rsid w:val="009370F0"/>
    <w:rsid w:val="009404FE"/>
    <w:rsid w:val="0094167C"/>
    <w:rsid w:val="00941C2D"/>
    <w:rsid w:val="0094636F"/>
    <w:rsid w:val="00947411"/>
    <w:rsid w:val="009475F9"/>
    <w:rsid w:val="00951BF9"/>
    <w:rsid w:val="00952B4B"/>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3FE7"/>
    <w:rsid w:val="00984AA4"/>
    <w:rsid w:val="00986F10"/>
    <w:rsid w:val="0098725D"/>
    <w:rsid w:val="0098735E"/>
    <w:rsid w:val="00987411"/>
    <w:rsid w:val="00990145"/>
    <w:rsid w:val="00990BC7"/>
    <w:rsid w:val="00992E73"/>
    <w:rsid w:val="009934E3"/>
    <w:rsid w:val="009A1461"/>
    <w:rsid w:val="009A3DDD"/>
    <w:rsid w:val="009A48AE"/>
    <w:rsid w:val="009B0970"/>
    <w:rsid w:val="009B217C"/>
    <w:rsid w:val="009B3511"/>
    <w:rsid w:val="009B4365"/>
    <w:rsid w:val="009C0BFA"/>
    <w:rsid w:val="009C1B74"/>
    <w:rsid w:val="009C1F77"/>
    <w:rsid w:val="009C25F0"/>
    <w:rsid w:val="009C6EE1"/>
    <w:rsid w:val="009C76AD"/>
    <w:rsid w:val="009D030C"/>
    <w:rsid w:val="009D19AA"/>
    <w:rsid w:val="009D3AF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6E38"/>
    <w:rsid w:val="009F76C4"/>
    <w:rsid w:val="00A00DFB"/>
    <w:rsid w:val="00A01961"/>
    <w:rsid w:val="00A02706"/>
    <w:rsid w:val="00A03187"/>
    <w:rsid w:val="00A04CAA"/>
    <w:rsid w:val="00A059D7"/>
    <w:rsid w:val="00A07A5B"/>
    <w:rsid w:val="00A1055C"/>
    <w:rsid w:val="00A11996"/>
    <w:rsid w:val="00A126E1"/>
    <w:rsid w:val="00A157EC"/>
    <w:rsid w:val="00A175D5"/>
    <w:rsid w:val="00A176BC"/>
    <w:rsid w:val="00A17DA4"/>
    <w:rsid w:val="00A21E22"/>
    <w:rsid w:val="00A22464"/>
    <w:rsid w:val="00A25335"/>
    <w:rsid w:val="00A26FDF"/>
    <w:rsid w:val="00A27A6F"/>
    <w:rsid w:val="00A30464"/>
    <w:rsid w:val="00A308CC"/>
    <w:rsid w:val="00A31695"/>
    <w:rsid w:val="00A360BC"/>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57D1E"/>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CA5"/>
    <w:rsid w:val="00A85BB1"/>
    <w:rsid w:val="00A85FB2"/>
    <w:rsid w:val="00A86A2F"/>
    <w:rsid w:val="00A87547"/>
    <w:rsid w:val="00A87B1E"/>
    <w:rsid w:val="00A87D4E"/>
    <w:rsid w:val="00A90447"/>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C1572"/>
    <w:rsid w:val="00AC1D69"/>
    <w:rsid w:val="00AC3157"/>
    <w:rsid w:val="00AC4ACE"/>
    <w:rsid w:val="00AC4BD1"/>
    <w:rsid w:val="00AC7C5A"/>
    <w:rsid w:val="00AD4886"/>
    <w:rsid w:val="00AD5485"/>
    <w:rsid w:val="00AD592E"/>
    <w:rsid w:val="00AD5FBD"/>
    <w:rsid w:val="00AD6B58"/>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A2A"/>
    <w:rsid w:val="00B13D29"/>
    <w:rsid w:val="00B1668E"/>
    <w:rsid w:val="00B17AB5"/>
    <w:rsid w:val="00B20CA5"/>
    <w:rsid w:val="00B2128E"/>
    <w:rsid w:val="00B2156C"/>
    <w:rsid w:val="00B23E1C"/>
    <w:rsid w:val="00B24476"/>
    <w:rsid w:val="00B246BC"/>
    <w:rsid w:val="00B2483A"/>
    <w:rsid w:val="00B24E2C"/>
    <w:rsid w:val="00B27B51"/>
    <w:rsid w:val="00B30908"/>
    <w:rsid w:val="00B30DF3"/>
    <w:rsid w:val="00B31750"/>
    <w:rsid w:val="00B31983"/>
    <w:rsid w:val="00B31985"/>
    <w:rsid w:val="00B37C04"/>
    <w:rsid w:val="00B41036"/>
    <w:rsid w:val="00B415E2"/>
    <w:rsid w:val="00B4183C"/>
    <w:rsid w:val="00B434F3"/>
    <w:rsid w:val="00B4784E"/>
    <w:rsid w:val="00B47E29"/>
    <w:rsid w:val="00B508C5"/>
    <w:rsid w:val="00B50BA3"/>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1D15"/>
    <w:rsid w:val="00B92229"/>
    <w:rsid w:val="00B9299D"/>
    <w:rsid w:val="00B94520"/>
    <w:rsid w:val="00B945E0"/>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552F"/>
    <w:rsid w:val="00BC5BDD"/>
    <w:rsid w:val="00BC5FA0"/>
    <w:rsid w:val="00BC6808"/>
    <w:rsid w:val="00BC6AF2"/>
    <w:rsid w:val="00BD0752"/>
    <w:rsid w:val="00BD0EDC"/>
    <w:rsid w:val="00BD4E07"/>
    <w:rsid w:val="00BD6265"/>
    <w:rsid w:val="00BD692C"/>
    <w:rsid w:val="00BE0483"/>
    <w:rsid w:val="00BE32EC"/>
    <w:rsid w:val="00BF030D"/>
    <w:rsid w:val="00BF5A6D"/>
    <w:rsid w:val="00BF5E1C"/>
    <w:rsid w:val="00BF6188"/>
    <w:rsid w:val="00BF77CE"/>
    <w:rsid w:val="00BF7867"/>
    <w:rsid w:val="00C004C7"/>
    <w:rsid w:val="00C00E36"/>
    <w:rsid w:val="00C0168A"/>
    <w:rsid w:val="00C12237"/>
    <w:rsid w:val="00C12A8F"/>
    <w:rsid w:val="00C15BE0"/>
    <w:rsid w:val="00C203B2"/>
    <w:rsid w:val="00C23C48"/>
    <w:rsid w:val="00C2413C"/>
    <w:rsid w:val="00C24862"/>
    <w:rsid w:val="00C24D7A"/>
    <w:rsid w:val="00C25D4C"/>
    <w:rsid w:val="00C26FBB"/>
    <w:rsid w:val="00C27EF5"/>
    <w:rsid w:val="00C319E4"/>
    <w:rsid w:val="00C3290E"/>
    <w:rsid w:val="00C3643E"/>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3C8D"/>
    <w:rsid w:val="00C841AD"/>
    <w:rsid w:val="00C84DCF"/>
    <w:rsid w:val="00C85C2E"/>
    <w:rsid w:val="00C90FA6"/>
    <w:rsid w:val="00C91248"/>
    <w:rsid w:val="00C92E2F"/>
    <w:rsid w:val="00C94DED"/>
    <w:rsid w:val="00C94E3E"/>
    <w:rsid w:val="00CA0379"/>
    <w:rsid w:val="00CA0857"/>
    <w:rsid w:val="00CA3936"/>
    <w:rsid w:val="00CA46E8"/>
    <w:rsid w:val="00CA5625"/>
    <w:rsid w:val="00CB424A"/>
    <w:rsid w:val="00CB4DBE"/>
    <w:rsid w:val="00CB5B35"/>
    <w:rsid w:val="00CB65BE"/>
    <w:rsid w:val="00CB7E5E"/>
    <w:rsid w:val="00CB7FA8"/>
    <w:rsid w:val="00CC10A8"/>
    <w:rsid w:val="00CC35C7"/>
    <w:rsid w:val="00CC577A"/>
    <w:rsid w:val="00CC5B47"/>
    <w:rsid w:val="00CC72CF"/>
    <w:rsid w:val="00CC771D"/>
    <w:rsid w:val="00CC7A7D"/>
    <w:rsid w:val="00CD41A1"/>
    <w:rsid w:val="00CD486B"/>
    <w:rsid w:val="00CD4E60"/>
    <w:rsid w:val="00CD5448"/>
    <w:rsid w:val="00CD55DB"/>
    <w:rsid w:val="00CD6961"/>
    <w:rsid w:val="00CD72AA"/>
    <w:rsid w:val="00CE084F"/>
    <w:rsid w:val="00CE13ED"/>
    <w:rsid w:val="00CE41B1"/>
    <w:rsid w:val="00CE424D"/>
    <w:rsid w:val="00CE7043"/>
    <w:rsid w:val="00CE7B02"/>
    <w:rsid w:val="00CF02DE"/>
    <w:rsid w:val="00CF17C8"/>
    <w:rsid w:val="00CF315B"/>
    <w:rsid w:val="00CF3923"/>
    <w:rsid w:val="00CF449A"/>
    <w:rsid w:val="00D00B5D"/>
    <w:rsid w:val="00D035CF"/>
    <w:rsid w:val="00D0382A"/>
    <w:rsid w:val="00D04282"/>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31E9"/>
    <w:rsid w:val="00D642F8"/>
    <w:rsid w:val="00D64C51"/>
    <w:rsid w:val="00D65D6E"/>
    <w:rsid w:val="00D71019"/>
    <w:rsid w:val="00D7215D"/>
    <w:rsid w:val="00D73005"/>
    <w:rsid w:val="00D75580"/>
    <w:rsid w:val="00D75D41"/>
    <w:rsid w:val="00D769A4"/>
    <w:rsid w:val="00D81E16"/>
    <w:rsid w:val="00D81E69"/>
    <w:rsid w:val="00D81EFF"/>
    <w:rsid w:val="00D81F20"/>
    <w:rsid w:val="00D82960"/>
    <w:rsid w:val="00D83D49"/>
    <w:rsid w:val="00D84E91"/>
    <w:rsid w:val="00D919DA"/>
    <w:rsid w:val="00D9349D"/>
    <w:rsid w:val="00D93B10"/>
    <w:rsid w:val="00D95542"/>
    <w:rsid w:val="00D97AF1"/>
    <w:rsid w:val="00D97CE6"/>
    <w:rsid w:val="00DA00EC"/>
    <w:rsid w:val="00DA022C"/>
    <w:rsid w:val="00DA1F78"/>
    <w:rsid w:val="00DA5381"/>
    <w:rsid w:val="00DB0234"/>
    <w:rsid w:val="00DB10E0"/>
    <w:rsid w:val="00DB1528"/>
    <w:rsid w:val="00DB1B0D"/>
    <w:rsid w:val="00DB35D4"/>
    <w:rsid w:val="00DB3C68"/>
    <w:rsid w:val="00DB7289"/>
    <w:rsid w:val="00DB72B2"/>
    <w:rsid w:val="00DC029B"/>
    <w:rsid w:val="00DC2A37"/>
    <w:rsid w:val="00DD2301"/>
    <w:rsid w:val="00DD488E"/>
    <w:rsid w:val="00DD4955"/>
    <w:rsid w:val="00DD5388"/>
    <w:rsid w:val="00DD565B"/>
    <w:rsid w:val="00DD5BB8"/>
    <w:rsid w:val="00DE4613"/>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52DB"/>
    <w:rsid w:val="00E06FFA"/>
    <w:rsid w:val="00E10090"/>
    <w:rsid w:val="00E116FD"/>
    <w:rsid w:val="00E117C7"/>
    <w:rsid w:val="00E127A4"/>
    <w:rsid w:val="00E12803"/>
    <w:rsid w:val="00E20424"/>
    <w:rsid w:val="00E20A38"/>
    <w:rsid w:val="00E20EF3"/>
    <w:rsid w:val="00E21B31"/>
    <w:rsid w:val="00E239AF"/>
    <w:rsid w:val="00E23A77"/>
    <w:rsid w:val="00E24937"/>
    <w:rsid w:val="00E24ADA"/>
    <w:rsid w:val="00E24F60"/>
    <w:rsid w:val="00E26063"/>
    <w:rsid w:val="00E26AA6"/>
    <w:rsid w:val="00E3143F"/>
    <w:rsid w:val="00E32BF6"/>
    <w:rsid w:val="00E32C3C"/>
    <w:rsid w:val="00E33363"/>
    <w:rsid w:val="00E339E8"/>
    <w:rsid w:val="00E352CD"/>
    <w:rsid w:val="00E352CF"/>
    <w:rsid w:val="00E364BE"/>
    <w:rsid w:val="00E36B66"/>
    <w:rsid w:val="00E44BBD"/>
    <w:rsid w:val="00E45D0C"/>
    <w:rsid w:val="00E47110"/>
    <w:rsid w:val="00E50CEF"/>
    <w:rsid w:val="00E53A41"/>
    <w:rsid w:val="00E53F1A"/>
    <w:rsid w:val="00E61867"/>
    <w:rsid w:val="00E62911"/>
    <w:rsid w:val="00E63188"/>
    <w:rsid w:val="00E66E17"/>
    <w:rsid w:val="00E67787"/>
    <w:rsid w:val="00E70377"/>
    <w:rsid w:val="00E726D9"/>
    <w:rsid w:val="00E72CC4"/>
    <w:rsid w:val="00E73459"/>
    <w:rsid w:val="00E736AA"/>
    <w:rsid w:val="00E748A0"/>
    <w:rsid w:val="00E748E4"/>
    <w:rsid w:val="00E7538F"/>
    <w:rsid w:val="00E759DC"/>
    <w:rsid w:val="00E7636C"/>
    <w:rsid w:val="00E77E1D"/>
    <w:rsid w:val="00E80F96"/>
    <w:rsid w:val="00E81DF2"/>
    <w:rsid w:val="00E849F3"/>
    <w:rsid w:val="00E85859"/>
    <w:rsid w:val="00E870AB"/>
    <w:rsid w:val="00E9111B"/>
    <w:rsid w:val="00E92590"/>
    <w:rsid w:val="00E925C3"/>
    <w:rsid w:val="00E926FF"/>
    <w:rsid w:val="00E93332"/>
    <w:rsid w:val="00EA1671"/>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7E4"/>
    <w:rsid w:val="00EE27F6"/>
    <w:rsid w:val="00EE444E"/>
    <w:rsid w:val="00EE6C83"/>
    <w:rsid w:val="00EE7E46"/>
    <w:rsid w:val="00EF14BA"/>
    <w:rsid w:val="00EF22D6"/>
    <w:rsid w:val="00EF259D"/>
    <w:rsid w:val="00EF2E32"/>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46D0"/>
    <w:rsid w:val="00F34E2D"/>
    <w:rsid w:val="00F36369"/>
    <w:rsid w:val="00F423A6"/>
    <w:rsid w:val="00F43569"/>
    <w:rsid w:val="00F43CB3"/>
    <w:rsid w:val="00F44769"/>
    <w:rsid w:val="00F46DE8"/>
    <w:rsid w:val="00F51CE5"/>
    <w:rsid w:val="00F5241B"/>
    <w:rsid w:val="00F5378E"/>
    <w:rsid w:val="00F55697"/>
    <w:rsid w:val="00F56A27"/>
    <w:rsid w:val="00F56CBF"/>
    <w:rsid w:val="00F61202"/>
    <w:rsid w:val="00F61A69"/>
    <w:rsid w:val="00F62B7A"/>
    <w:rsid w:val="00F63DB8"/>
    <w:rsid w:val="00F64B0A"/>
    <w:rsid w:val="00F675B8"/>
    <w:rsid w:val="00F70301"/>
    <w:rsid w:val="00F706F9"/>
    <w:rsid w:val="00F71369"/>
    <w:rsid w:val="00F71971"/>
    <w:rsid w:val="00F76BD5"/>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ADB"/>
    <w:rsid w:val="00FC2EC4"/>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 w:val="6DA0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lang w:val="zh-CN" w:eastAsia="zh-CN"/>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630"/>
    </w:pPr>
    <w:rPr>
      <w:color w:val="000000"/>
      <w:szCs w:val="32"/>
    </w:rPr>
  </w:style>
  <w:style w:type="paragraph" w:styleId="4">
    <w:name w:val="Date"/>
    <w:basedOn w:val="1"/>
    <w:next w:val="1"/>
    <w:link w:val="14"/>
    <w:uiPriority w:val="0"/>
    <w:pPr>
      <w:ind w:left="100" w:leftChars="2500"/>
    </w:pPr>
    <w:rPr>
      <w:lang w:val="zh-CN" w:eastAsia="zh-CN"/>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uiPriority w:val="0"/>
  </w:style>
  <w:style w:type="character" w:customStyle="1" w:styleId="14">
    <w:name w:val="日期 字符"/>
    <w:link w:val="4"/>
    <w:uiPriority w:val="0"/>
    <w:rPr>
      <w:rFonts w:eastAsia="仿宋_GB2312"/>
      <w:kern w:val="2"/>
      <w:sz w:val="32"/>
      <w:szCs w:val="24"/>
    </w:rPr>
  </w:style>
  <w:style w:type="character" w:customStyle="1" w:styleId="15">
    <w:name w:val="标题 1 字符"/>
    <w:link w:val="2"/>
    <w:uiPriority w:val="0"/>
    <w:rPr>
      <w:rFonts w:eastAsia="仿宋_GB2312"/>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573EE-DC08-4B17-A6E4-FD665EECDD05}">
  <ds:schemaRefs/>
</ds:datastoreItem>
</file>

<file path=docProps/app.xml><?xml version="1.0" encoding="utf-8"?>
<Properties xmlns="http://schemas.openxmlformats.org/officeDocument/2006/extended-properties" xmlns:vt="http://schemas.openxmlformats.org/officeDocument/2006/docPropsVTypes">
  <Template>Normal</Template>
  <Company>nupt</Company>
  <Pages>6</Pages>
  <Words>2374</Words>
  <Characters>2391</Characters>
  <Lines>18</Lines>
  <Paragraphs>5</Paragraphs>
  <TotalTime>2</TotalTime>
  <ScaleCrop>false</ScaleCrop>
  <LinksUpToDate>false</LinksUpToDate>
  <CharactersWithSpaces>2510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2019-01-07T01:09:00Z</dcterms:created>
  <dc:creator>biny</dc:creator>
  <cp:lastModifiedBy>青红造了个白</cp:lastModifiedBy>
  <cp:lastPrinted>2019-01-04T03:12:00Z</cp:lastPrinted>
  <dcterms:modified xsi:type="dcterms:W3CDTF">2023-12-14T02:29:31Z</dcterms:modified>
  <dc:title>办发〔2005〕3号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4FC2C314B470444DA411BBD047657A4F</vt:lpwstr>
  </property>
</Properties>
</file>