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Style w:val="13"/>
          <w:rFonts w:hint="eastAsia" w:ascii="黑体" w:hAnsi="黑体" w:eastAsia="黑体" w:cs="黑体"/>
          <w:b/>
          <w:color w:val="auto"/>
          <w:spacing w:val="-20"/>
          <w:sz w:val="36"/>
          <w:szCs w:val="36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pacing w:val="-20"/>
          <w:sz w:val="36"/>
          <w:szCs w:val="36"/>
        </w:rPr>
        <w:t>南京邮电大学通达学院教职工</w:t>
      </w:r>
      <w:r>
        <w:rPr>
          <w:rStyle w:val="13"/>
          <w:rFonts w:hint="eastAsia" w:ascii="黑体" w:hAnsi="黑体" w:eastAsia="黑体" w:cs="黑体"/>
          <w:b/>
          <w:color w:val="auto"/>
          <w:spacing w:val="-20"/>
          <w:sz w:val="36"/>
          <w:szCs w:val="36"/>
          <w:lang w:val="en-US" w:eastAsia="zh-CN"/>
        </w:rPr>
        <w:t>进修</w:t>
      </w:r>
      <w:r>
        <w:rPr>
          <w:rStyle w:val="13"/>
          <w:rFonts w:hint="eastAsia" w:ascii="黑体" w:hAnsi="黑体" w:eastAsia="黑体" w:cs="黑体"/>
          <w:b/>
          <w:color w:val="auto"/>
          <w:spacing w:val="-20"/>
          <w:sz w:val="36"/>
          <w:szCs w:val="36"/>
        </w:rPr>
        <w:t>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为进一步加强学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教职工队伍建设，不断提高教职工的教学、科研、业务能力，完善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教职工进修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管理工作，特制定本办法。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本办法适用于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在职在岗教职工。根据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发展和岗位需要，遵循学用一致、合理安排的原则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选派教职工进修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第二章 进修类型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教职工进修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类型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1、攻读博士学位；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国内访学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3、出国（境）研修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境外研修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包括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国家（省）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留学奖学金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公派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公派、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个人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自费的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研修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第三章 进修条件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人员应遵纪守法，爱岗敬业，有强烈的事业心和工作责任感，服从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工作调配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连续工作满2年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年度考核均为合格及以上。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专业须与所从事的教学工作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业务岗位一致。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申请在职攻读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博士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学位，从申请当年起算，三年内最多只能申请两次。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凡出国（境）研修三个月及以上、半年以下，回院工作满两年后才能再次申请出境研修；半年及以上、一年以下的，回院工作满三年后才能再次申请出境研修；一年及以上的，回院工作满五年后才能再次申请出境研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自费出国（境）研修的，申请在国（境）外时间不得超过一年。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第四章 进修审批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教职工个人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填写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《南京邮电大学通达学院教职工在职进修审批表》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交所在二级单位。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申请人所在二级单位对申请人的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要求应提出明确意见后交人事处。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人事处审核，并汇总提交学院党政联席会议审批。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人事处于每年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集中进行拟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教职工的审核工作。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凡经过学院批准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参加3个月以上进修人员，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在收到录取通知书后与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在职进修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协议，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明确服务期及违约责任。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0" w:firstLineChars="0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第五章 进修人员的义务及待遇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职工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在职攻读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博士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经个人申请和学院同意后，可在攻读博士学位的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第一年脱产学习，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发放基本工资，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岗位津贴。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经学院批准在职攻读博士学位的教职工，在与学院已签订的其它协议基础上，取得博士学位后应继续为学院服务8年。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在职攻读博士学位的费用全部自理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国内访学和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出国（境）研修人员在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批准的期限内，正常发放基本工资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停发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岗位津贴。延长研修期限期间，暂缓发放基本工资，停发岗位津贴，待按期回院后补发基本工资。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经过学院批准出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国（境）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研修的教职工须在行程确定后，及时与学院签订协议书，不可补签。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国（境）研修人员一般不得改变出境计划和研修任务，不得延长研修期限。出境研修人员确因研修需要必须延长在境外研修期限的，应至少提前一个月提出申请，经所在二级单位同意后报学院审批。延长期限一般不得超过原批准出境期限，最长不得超过一年，且只能申请一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不接受自费出国（境）人员延期申请。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国（境）研修人员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因出境研修产生的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国内语言培训费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出境往返交通费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签证费等费用均自理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出国（境）研修人员视研修期限（含出境延长期限）延长在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的服务期限，并在出境研修协议中明确。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出国（境）研修 3个月（不含3个月）至6个月（含6个月）在原有与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签订的服务期限上延长3年；出境研修6个月（不含6个月）至12个月（含12个月）在原有服务期限上延长5年；出境研修12个月以上在原有服务期限上延长7年。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第十五条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教职工在职进修期间，应在力所能及的情况下，完成学院、二级单位布置的其它工作。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学历（学位）进修人员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取得的学历、学位等证明材料应及时报人事处备案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在完成学业后，应就本人学习期间的情况向本单位做一次全面的书面汇报。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出国（境）研修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人员回院工作后，要及时向学院提交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国（境）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外学术研修书面总结、合作教授对其在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国（境）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外工作的评价意见表等材料，并以报告会的形式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在一定范围内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汇报学习成果；回院工作一个月内向人事处提交总结报告，有关学习情况存入个人档案。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第六章 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643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第十七条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按照“签约派出、违约赔偿”原则，教职工进修前与学学院签订协议书（延长出国（境）期限的应签订补充协议书）。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3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第十八条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在职进修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人员应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按期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回院工作，逾期未归，自逾期之日起停发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全部工资待遇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。逾期15个工作日未回院报到的，学院有权按照有关规定予以辞退处理，并按照国家或省规定，要求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在职进修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人员赔偿全部或部分资助费用，交纳违约金，同时退还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期间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给予的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工资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待遇。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未满院内服务期（含延长期）提出辞职的，按照国家或省规定，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按月计算并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赔偿资助费用，同时交纳违约金，违约金为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第七章 附则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本办法自发布之日起执行，凡学院已公布实施的规定与本办法不一致的，按照本办法执行。凡在本办法发布前已开始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并签订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协议的人员，按原有在职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进修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文件和已签订协议执行。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firstLine="640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/>
        </w:rPr>
        <w:t>本办法由人事处负责解释。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2A85B-F190-4386-BB97-BC301CBAD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C45D15-29B2-4013-AC1B-8EDB91C87C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2766F"/>
    <w:multiLevelType w:val="singleLevel"/>
    <w:tmpl w:val="ECD2766F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1">
    <w:nsid w:val="45F2C16B"/>
    <w:multiLevelType w:val="singleLevel"/>
    <w:tmpl w:val="45F2C16B"/>
    <w:lvl w:ilvl="0" w:tentative="0">
      <w:start w:val="19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abstractNum w:abstractNumId="2">
    <w:nsid w:val="76C21987"/>
    <w:multiLevelType w:val="singleLevel"/>
    <w:tmpl w:val="76C21987"/>
    <w:lvl w:ilvl="0" w:tentative="0">
      <w:start w:val="3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F4"/>
    <w:rsid w:val="002E2FDF"/>
    <w:rsid w:val="006F46F4"/>
    <w:rsid w:val="00703BC0"/>
    <w:rsid w:val="00A24B90"/>
    <w:rsid w:val="00DE34D5"/>
    <w:rsid w:val="00E03C8C"/>
    <w:rsid w:val="00FA35C8"/>
    <w:rsid w:val="07A44E39"/>
    <w:rsid w:val="1A0374BE"/>
    <w:rsid w:val="1B2B3818"/>
    <w:rsid w:val="1B965E2C"/>
    <w:rsid w:val="1BCC327E"/>
    <w:rsid w:val="1D1D5C9D"/>
    <w:rsid w:val="20476282"/>
    <w:rsid w:val="2C000F2F"/>
    <w:rsid w:val="2CD543AD"/>
    <w:rsid w:val="2DA30C24"/>
    <w:rsid w:val="2F395B80"/>
    <w:rsid w:val="31BB6A55"/>
    <w:rsid w:val="376F2C3A"/>
    <w:rsid w:val="38412C49"/>
    <w:rsid w:val="3D9936BB"/>
    <w:rsid w:val="4033643E"/>
    <w:rsid w:val="424C4BEE"/>
    <w:rsid w:val="45EF0878"/>
    <w:rsid w:val="4BF255D6"/>
    <w:rsid w:val="4DED30CF"/>
    <w:rsid w:val="4E9068C8"/>
    <w:rsid w:val="4F42544C"/>
    <w:rsid w:val="598D7D11"/>
    <w:rsid w:val="632E52FC"/>
    <w:rsid w:val="668E3C8C"/>
    <w:rsid w:val="693D6436"/>
    <w:rsid w:val="69FE6048"/>
    <w:rsid w:val="72534D94"/>
    <w:rsid w:val="72B0422C"/>
    <w:rsid w:val="7AAD32ED"/>
    <w:rsid w:val="7E0F5C53"/>
    <w:rsid w:val="7FC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798</Characters>
  <Lines>6</Lines>
  <Paragraphs>1</Paragraphs>
  <TotalTime>157</TotalTime>
  <ScaleCrop>false</ScaleCrop>
  <LinksUpToDate>false</LinksUpToDate>
  <CharactersWithSpaces>937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2017-10-16T06:47:00Z</dcterms:created>
  <dc:creator>13852177468@163.com</dc:creator>
  <cp:lastModifiedBy>我任性我傲娇我是最棒哒</cp:lastModifiedBy>
  <cp:lastPrinted>2020-10-26T03:20:00Z</cp:lastPrinted>
  <dcterms:modified xsi:type="dcterms:W3CDTF">2021-10-08T06:05:01Z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900B2F357BEB4187B281421B6472FD25</vt:lpwstr>
  </property>
</Properties>
</file>